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E8E" w:rsidRPr="00091AE5" w:rsidRDefault="00D06D3A" w:rsidP="00091AE5">
      <w:pPr>
        <w:pStyle w:val="tytuinformacji"/>
        <w:spacing w:after="720"/>
        <w:ind w:right="2540"/>
        <w:rPr>
          <w:noProof/>
          <w:spacing w:val="-4"/>
          <w:shd w:val="clear" w:color="auto" w:fill="FFFFFF"/>
        </w:rPr>
      </w:pPr>
      <w:r>
        <w:rPr>
          <w:noProof/>
          <w:spacing w:val="-4"/>
          <w:shd w:val="clear" w:color="auto" w:fill="FFFFFF"/>
        </w:rPr>
        <w:t>In</w:t>
      </w:r>
      <w:r w:rsidR="000B1FA0">
        <w:rPr>
          <w:noProof/>
          <w:spacing w:val="-4"/>
          <w:shd w:val="clear" w:color="auto" w:fill="FFFFFF"/>
        </w:rPr>
        <w:t>formacja o</w:t>
      </w:r>
      <w:r w:rsidR="00440846" w:rsidRPr="00BD74F3">
        <w:rPr>
          <w:noProof/>
          <w:spacing w:val="-4"/>
          <w:shd w:val="clear" w:color="auto" w:fill="FFFFFF"/>
        </w:rPr>
        <w:t xml:space="preserve"> sytuacji społeczno-gospodarczej województwa podkarp</w:t>
      </w:r>
      <w:r w:rsidR="003E5857" w:rsidRPr="00BD74F3">
        <w:rPr>
          <w:noProof/>
          <w:spacing w:val="-4"/>
          <w:shd w:val="clear" w:color="auto" w:fill="FFFFFF"/>
        </w:rPr>
        <w:t>a</w:t>
      </w:r>
      <w:r w:rsidR="00440846" w:rsidRPr="00BD74F3">
        <w:rPr>
          <w:noProof/>
          <w:spacing w:val="-4"/>
          <w:shd w:val="clear" w:color="auto" w:fill="FFFFFF"/>
        </w:rPr>
        <w:t>ckiego</w:t>
      </w:r>
      <w:r w:rsidR="004251FF" w:rsidRPr="00BD74F3">
        <w:rPr>
          <w:noProof/>
          <w:spacing w:val="-4"/>
          <w:shd w:val="clear" w:color="auto" w:fill="FFFFFF"/>
        </w:rPr>
        <w:t xml:space="preserve"> </w:t>
      </w:r>
      <w:r w:rsidR="000B1FA0">
        <w:rPr>
          <w:noProof/>
          <w:spacing w:val="-4"/>
          <w:shd w:val="clear" w:color="auto" w:fill="FFFFFF"/>
        </w:rPr>
        <w:t>za</w:t>
      </w:r>
      <w:r w:rsidR="00155BC5">
        <w:rPr>
          <w:noProof/>
          <w:spacing w:val="-4"/>
          <w:shd w:val="clear" w:color="auto" w:fill="FFFFFF"/>
        </w:rPr>
        <w:t xml:space="preserve"> mar</w:t>
      </w:r>
      <w:r w:rsidR="000B1FA0">
        <w:rPr>
          <w:noProof/>
          <w:spacing w:val="-4"/>
          <w:shd w:val="clear" w:color="auto" w:fill="FFFFFF"/>
        </w:rPr>
        <w:t>zec</w:t>
      </w:r>
      <w:r w:rsidR="00B6129F">
        <w:rPr>
          <w:noProof/>
          <w:spacing w:val="-4"/>
          <w:shd w:val="clear" w:color="auto" w:fill="FFFFFF"/>
        </w:rPr>
        <w:t xml:space="preserve"> 2020</w:t>
      </w:r>
      <w:r w:rsidR="00FE0C01" w:rsidRPr="00BD74F3">
        <w:rPr>
          <w:noProof/>
          <w:spacing w:val="-4"/>
          <w:shd w:val="clear" w:color="auto" w:fill="FFFFFF"/>
        </w:rPr>
        <w:t xml:space="preserve"> </w:t>
      </w:r>
      <w:r w:rsidR="00994F33" w:rsidRPr="00BD74F3">
        <w:rPr>
          <w:noProof/>
          <w:spacing w:val="-4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0B5DEB" w:rsidRPr="004E70E6" w:rsidTr="00BE322F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5227E2" w:rsidRPr="00346B3F" w:rsidRDefault="005227E2" w:rsidP="005227E2">
            <w:pPr>
              <w:pStyle w:val="tekstnapierwszejstronie"/>
              <w:spacing w:before="240" w:after="240"/>
              <w:rPr>
                <w:b w:val="0"/>
                <w:noProof/>
                <w:color w:val="auto"/>
                <w:szCs w:val="19"/>
              </w:rPr>
            </w:pPr>
            <w:bookmarkStart w:id="0" w:name="_Toc38269572"/>
            <w:r w:rsidRPr="00346B3F">
              <w:rPr>
                <w:b w:val="0"/>
                <w:szCs w:val="19"/>
              </w:rPr>
              <w:t>Podmiotów gospodarki narodowej z zawieszoną działalnością w końcu marca br. było o 3,5% więcej niż przed miesiącem. Stosunkowo duży wzrost podmiotów z zawieszoną działalnością wystąpił w sekcji edukacja, działalność związana z kulturą, rozrywką i rekreacją, opieka zdrowotna i pomoc społeczna oraz  pozostała działalność usługowa. W marcu 2020 r. zarejestrowano 936 nowych podmiotów, tzn. o 18,2% mniej niż w lutym br., wyrejestrowano natomiast 519 podmiotów, czyli o 19,3% mniej niż przed miesiącem.</w:t>
            </w:r>
          </w:p>
          <w:p w:rsidR="005227E2" w:rsidRPr="00346B3F" w:rsidRDefault="005227E2" w:rsidP="005227E2">
            <w:pPr>
              <w:pStyle w:val="tekstnapierwszejstronie"/>
              <w:spacing w:before="240" w:after="240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346B3F">
              <w:rPr>
                <w:b w:val="0"/>
                <w:szCs w:val="19"/>
              </w:rPr>
              <w:t xml:space="preserve">Produkcja sprzedana przemysłu w marcu br. osiągnęła wartość (w cenach bieżących) 4404,9 mln zł i była (w cenach stałych) o 8,9% niższa niż w marcu 2019 r., kiedy notowano wzrost o 9,1%. W porównaniu z poprzednim miesiącem produkcja sprzedana obniżyła się o 0,7%. </w:t>
            </w:r>
          </w:p>
          <w:p w:rsidR="005227E2" w:rsidRPr="00346B3F" w:rsidRDefault="005227E2" w:rsidP="005227E2">
            <w:pPr>
              <w:pStyle w:val="tekstnapierwszejstronie"/>
              <w:spacing w:before="240" w:after="240"/>
              <w:rPr>
                <w:b w:val="0"/>
                <w:noProof/>
                <w:color w:val="auto"/>
                <w:szCs w:val="19"/>
              </w:rPr>
            </w:pPr>
            <w:r w:rsidRPr="00346B3F">
              <w:rPr>
                <w:b w:val="0"/>
                <w:szCs w:val="19"/>
              </w:rPr>
              <w:t>Sprzedaż detaliczna zrealizowana przez przedsiębiorstwa handlowe i niehandlowe w marcu br. była o 6,6% niższa niż przed rokiem (wobec wzrostu o 3,0% w marcu 2019 r.). Obniżyła się również w porównaniu z lutym br. (o 2,3%).</w:t>
            </w:r>
          </w:p>
          <w:p w:rsidR="005227E2" w:rsidRPr="00346B3F" w:rsidRDefault="005227E2" w:rsidP="005227E2">
            <w:pPr>
              <w:pStyle w:val="tekstnapierwszejstronie"/>
              <w:spacing w:before="240" w:after="240"/>
              <w:rPr>
                <w:b w:val="0"/>
                <w:noProof/>
                <w:color w:val="auto"/>
                <w:szCs w:val="19"/>
              </w:rPr>
            </w:pPr>
            <w:r w:rsidRPr="00346B3F">
              <w:rPr>
                <w:b w:val="0"/>
                <w:szCs w:val="19"/>
              </w:rPr>
              <w:t xml:space="preserve">W marcu 2020 r., w porównaniu z analogicznym miesiącem 2019 r., spadła liczba mieszkań oddanych do użytkowania (o 42,4%). Wzrosła natomiast liczba mieszkań, na realizację których wydano pozwolenia lub dokonano zgłoszenia </w:t>
            </w:r>
            <w:r>
              <w:rPr>
                <w:b w:val="0"/>
                <w:szCs w:val="19"/>
              </w:rPr>
              <w:t xml:space="preserve">z </w:t>
            </w:r>
            <w:r w:rsidRPr="00346B3F">
              <w:rPr>
                <w:b w:val="0"/>
                <w:szCs w:val="19"/>
              </w:rPr>
              <w:t>projektem budowlanym (o 42,0%) oraz liczba mieszkań, których budowę rozpoczęto (o 8,9%).</w:t>
            </w:r>
          </w:p>
          <w:p w:rsidR="00254A7F" w:rsidRPr="00346B3F" w:rsidRDefault="00254A7F" w:rsidP="005227E2">
            <w:pPr>
              <w:pStyle w:val="tekstnapierwszejstronie"/>
              <w:spacing w:before="240" w:after="240"/>
              <w:rPr>
                <w:b w:val="0"/>
                <w:noProof/>
                <w:szCs w:val="19"/>
              </w:rPr>
            </w:pPr>
            <w:r w:rsidRPr="00346B3F">
              <w:rPr>
                <w:b w:val="0"/>
                <w:szCs w:val="19"/>
              </w:rPr>
              <w:t>Stopa bezrobocia rejestrowanego wyniosła 8,2% i była niższa w odniesieniu do poprzedniego miesiąca jak i do marca ub. roku. W rankingu województw, pod względem wysokości stopy bezrobocia, woj. podkarpackie plasowało się na piętnastym miejscu. W kraju stopa bezrobocia wyniosła 5,4%, wobec 5,9% przed rokiem.</w:t>
            </w:r>
          </w:p>
          <w:p w:rsidR="00050FB1" w:rsidRPr="00B143B0" w:rsidRDefault="00050FB1" w:rsidP="005227E2">
            <w:pPr>
              <w:pStyle w:val="tekstnapierwszejstronie"/>
              <w:spacing w:before="240" w:after="240"/>
              <w:rPr>
                <w:noProof/>
                <w:color w:val="auto"/>
                <w:szCs w:val="19"/>
              </w:rPr>
            </w:pPr>
            <w:r w:rsidRPr="00B143B0">
              <w:rPr>
                <w:b w:val="0"/>
                <w:noProof/>
                <w:color w:val="auto"/>
                <w:szCs w:val="19"/>
              </w:rPr>
              <w:t>W marcu skupiono 1,9 tys. ton żywca wieprzowego i skup ten był niższy niż w marcu 2019 r. o 8,8%. (w kraju skup żywca wieprzowego był mniejszy o 3,8%). W większości województw skup wieprzowiny był mniejszy niż przed rokiem, a największy spadek wystąpił w województwach lubuskim, śląskim i dolnośląskim odpowiednio: o 52,1%, o 40,9% i o 38,5%. Zwiększenie skupu żywca wieprzowego zanotowano w pięciu województwach, przy czy najwyższy wzrost był w województwie zachodniopomorskim (o 50,0%) i świętokrzyskim (o 36,6%).</w:t>
            </w:r>
            <w:r w:rsidR="00B143B0">
              <w:rPr>
                <w:b w:val="0"/>
                <w:noProof/>
                <w:color w:val="auto"/>
                <w:szCs w:val="19"/>
              </w:rPr>
              <w:t xml:space="preserve"> </w:t>
            </w:r>
            <w:r w:rsidRPr="00B143B0">
              <w:rPr>
                <w:b w:val="0"/>
                <w:noProof/>
                <w:color w:val="auto"/>
                <w:szCs w:val="19"/>
              </w:rPr>
              <w:t>W marcu 2020 r. na Podkarpaciu skupiono 8,1 mln litrów mleka, tj. o 18,4% mniej niż przed rokie</w:t>
            </w:r>
            <w:r w:rsidR="00B143B0">
              <w:rPr>
                <w:b w:val="0"/>
                <w:noProof/>
                <w:color w:val="auto"/>
                <w:szCs w:val="19"/>
              </w:rPr>
              <w:t>m (w Polsce o 1,2% więcej niż w </w:t>
            </w:r>
            <w:r w:rsidRPr="00B143B0">
              <w:rPr>
                <w:b w:val="0"/>
                <w:noProof/>
                <w:color w:val="auto"/>
                <w:szCs w:val="19"/>
              </w:rPr>
              <w:t>analogicznym okresie roku 2019).</w:t>
            </w:r>
          </w:p>
          <w:p w:rsidR="006374FB" w:rsidRPr="006374FB" w:rsidRDefault="00E67DB4" w:rsidP="005227E2">
            <w:pPr>
              <w:pStyle w:val="tekstnapierwszejstronie"/>
              <w:spacing w:before="240" w:after="240"/>
              <w:rPr>
                <w:b w:val="0"/>
                <w:noProof/>
                <w:color w:val="auto"/>
              </w:rPr>
            </w:pPr>
            <w:r w:rsidRPr="00E67DB4">
              <w:rPr>
                <w:b w:val="0"/>
                <w:szCs w:val="19"/>
              </w:rPr>
              <w:t xml:space="preserve">Według wstępnych danych, z turystycznych obiektów noclegowych (posiadających 10 lub więcej miejsc noclegowych) położonych w województwie podkarpackim w marcu br. skorzystało ok. 37 tys. turystów , w tym ok. 4 tys. turystów zagranicznych. W porównaniu z analogicznym okresem roku ubiegłego </w:t>
            </w:r>
            <w:r>
              <w:rPr>
                <w:b w:val="0"/>
                <w:szCs w:val="19"/>
              </w:rPr>
              <w:t>liczba turystów była mniejsza o </w:t>
            </w:r>
            <w:r w:rsidRPr="00E67DB4">
              <w:rPr>
                <w:b w:val="0"/>
                <w:szCs w:val="19"/>
              </w:rPr>
              <w:t>59% (w kraju o 65%).</w:t>
            </w:r>
            <w:r w:rsidR="00D26F4A">
              <w:rPr>
                <w:b w:val="0"/>
                <w:szCs w:val="19"/>
              </w:rPr>
              <w:t xml:space="preserve"> </w:t>
            </w:r>
            <w:r w:rsidR="00D26F4A" w:rsidRPr="00D26F4A">
              <w:rPr>
                <w:b w:val="0"/>
                <w:color w:val="auto"/>
                <w:szCs w:val="19"/>
              </w:rPr>
              <w:t>Według prognozy wydatki poniesione w województwie podkarpackim przez turystów krajowych i zagranicznych wyniosą ok. 0,6 mld zł i w porównaniu do analogicznego okresu roku poprzedniego będą niższe o ok. 16%.</w:t>
            </w:r>
          </w:p>
        </w:tc>
      </w:tr>
    </w:tbl>
    <w:p w:rsidR="00091AE5" w:rsidRDefault="00091AE5">
      <w:pPr>
        <w:spacing w:line="230" w:lineRule="exact"/>
        <w:ind w:firstLine="454"/>
        <w:rPr>
          <w:rFonts w:cstheme="minorBidi"/>
          <w:szCs w:val="19"/>
        </w:rPr>
      </w:pPr>
      <w:bookmarkStart w:id="1" w:name="_Toc38269573"/>
      <w:bookmarkEnd w:id="0"/>
    </w:p>
    <w:p w:rsidR="00091AE5" w:rsidRDefault="00091AE5">
      <w:pPr>
        <w:spacing w:line="230" w:lineRule="exact"/>
        <w:ind w:firstLine="454"/>
        <w:rPr>
          <w:rFonts w:cstheme="minorBidi"/>
          <w:szCs w:val="19"/>
        </w:rPr>
      </w:pPr>
      <w:r>
        <w:rPr>
          <w:rFonts w:cstheme="minorBidi"/>
          <w:szCs w:val="19"/>
        </w:rPr>
        <w:br w:type="page"/>
      </w:r>
    </w:p>
    <w:p w:rsidR="005227E2" w:rsidRDefault="005227E2" w:rsidP="005227E2">
      <w:pPr>
        <w:pStyle w:val="Nagwek1"/>
        <w:tabs>
          <w:tab w:val="left" w:pos="4643"/>
        </w:tabs>
        <w:spacing w:before="240" w:after="120"/>
      </w:pPr>
      <w:bookmarkStart w:id="2" w:name="_Toc38269574"/>
      <w:bookmarkEnd w:id="1"/>
      <w:r>
        <w:lastRenderedPageBreak/>
        <w:t>Podmioty gospodarki narodowej</w:t>
      </w:r>
    </w:p>
    <w:p w:rsidR="005227E2" w:rsidRDefault="005227E2" w:rsidP="005227E2">
      <w:pPr>
        <w:jc w:val="both"/>
        <w:rPr>
          <w:rFonts w:eastAsia="Times New Roman"/>
          <w:bCs/>
          <w:sz w:val="20"/>
          <w:lang w:eastAsia="pl-PL"/>
        </w:rPr>
      </w:pPr>
    </w:p>
    <w:p w:rsidR="005227E2" w:rsidRDefault="005227E2" w:rsidP="005227E2">
      <w:pPr>
        <w:jc w:val="both"/>
        <w:rPr>
          <w:rFonts w:eastAsia="Times New Roman"/>
          <w:bCs/>
          <w:sz w:val="20"/>
          <w:lang w:eastAsia="pl-PL"/>
        </w:rPr>
      </w:pPr>
      <w:r w:rsidRPr="008B4723">
        <w:rPr>
          <w:rFonts w:eastAsia="Times New Roman"/>
          <w:bCs/>
          <w:sz w:val="20"/>
          <w:lang w:eastAsia="pl-PL"/>
        </w:rPr>
        <w:t>Według stanu w końcu marca 2020 r. podmiotów gospodarki narodowej wpisanych do rejestru REGON w województwie podkarpackim było prawie 182 tys., czyli prawie tyle samo co w lutym br. (wzrost o 0,2%, podobnie jak w Polsce). Podmioty z Podkarpacia stanowią ok. 4% ogółu podmiotów w kraju. Najwięcej pod</w:t>
      </w:r>
      <w:r>
        <w:rPr>
          <w:rFonts w:eastAsia="Times New Roman"/>
          <w:bCs/>
          <w:sz w:val="20"/>
          <w:lang w:eastAsia="pl-PL"/>
        </w:rPr>
        <w:t>miotów prowadziło działalność w </w:t>
      </w:r>
      <w:r w:rsidRPr="008B4723">
        <w:rPr>
          <w:rFonts w:eastAsia="Times New Roman"/>
          <w:bCs/>
          <w:sz w:val="20"/>
          <w:lang w:eastAsia="pl-PL"/>
        </w:rPr>
        <w:t xml:space="preserve">sekcji handel; naprawa pojazdów samochodowych – 22,7%, następnie budownictwo – 14,8%, przetwórstwo przemysłowe – 9,5%, działalność profesjonalna, naukowa i techniczna – 9,0%, pozostała działalność usługowa – 7,6%, transport, gospodarka magazynowa – 6,8%, opieka zdrowotna i pomoc społeczna – 6,0%. </w:t>
      </w:r>
    </w:p>
    <w:p w:rsidR="005227E2" w:rsidRPr="008B4723" w:rsidRDefault="005227E2" w:rsidP="005227E2">
      <w:pPr>
        <w:jc w:val="both"/>
        <w:rPr>
          <w:rFonts w:eastAsia="Times New Roman"/>
          <w:bCs/>
          <w:sz w:val="20"/>
          <w:lang w:eastAsia="pl-PL"/>
        </w:rPr>
      </w:pPr>
    </w:p>
    <w:p w:rsidR="005227E2" w:rsidRPr="008B4723" w:rsidRDefault="005227E2" w:rsidP="005227E2">
      <w:pPr>
        <w:ind w:left="567" w:hanging="567"/>
        <w:rPr>
          <w:rFonts w:eastAsia="Times New Roman"/>
          <w:b/>
          <w:bCs/>
          <w:sz w:val="20"/>
          <w:lang w:eastAsia="pl-PL"/>
        </w:rPr>
      </w:pPr>
      <w:r w:rsidRPr="008B4723">
        <w:rPr>
          <w:rFonts w:eastAsia="Times New Roman"/>
          <w:bCs/>
          <w:sz w:val="20"/>
          <w:lang w:eastAsia="pl-PL"/>
        </w:rPr>
        <w:t>Tabl.</w:t>
      </w:r>
      <w:r>
        <w:rPr>
          <w:rFonts w:eastAsia="Times New Roman"/>
          <w:b/>
          <w:bCs/>
          <w:sz w:val="20"/>
          <w:lang w:eastAsia="pl-PL"/>
        </w:rPr>
        <w:t xml:space="preserve"> </w:t>
      </w:r>
      <w:r>
        <w:rPr>
          <w:rFonts w:eastAsia="Times New Roman"/>
          <w:bCs/>
          <w:sz w:val="20"/>
          <w:lang w:eastAsia="pl-PL"/>
        </w:rPr>
        <w:t>1</w:t>
      </w:r>
      <w:r>
        <w:rPr>
          <w:rFonts w:eastAsia="Times New Roman"/>
          <w:b/>
          <w:bCs/>
          <w:sz w:val="20"/>
          <w:lang w:eastAsia="pl-PL"/>
        </w:rPr>
        <w:t xml:space="preserve">. </w:t>
      </w:r>
      <w:r w:rsidRPr="00245981">
        <w:rPr>
          <w:rFonts w:eastAsia="Times New Roman"/>
          <w:b/>
          <w:bCs/>
          <w:spacing w:val="4"/>
          <w:sz w:val="20"/>
          <w:lang w:eastAsia="pl-PL"/>
        </w:rPr>
        <w:t>Podmioty gospodarki narodowej wpisane do rejestru REGON według sekcji PKD w województwie podkarpackim</w:t>
      </w:r>
    </w:p>
    <w:p w:rsidR="005227E2" w:rsidRPr="008B4723" w:rsidRDefault="005227E2" w:rsidP="005227E2">
      <w:pPr>
        <w:ind w:left="567" w:hanging="141"/>
        <w:rPr>
          <w:rFonts w:eastAsia="Times New Roman"/>
          <w:b/>
          <w:bCs/>
          <w:sz w:val="18"/>
          <w:lang w:eastAsia="pl-PL"/>
        </w:rPr>
      </w:pPr>
      <w:r w:rsidRPr="008B4723">
        <w:rPr>
          <w:rFonts w:eastAsia="Times New Roman"/>
          <w:bCs/>
          <w:sz w:val="18"/>
          <w:lang w:eastAsia="pl-PL"/>
        </w:rPr>
        <w:t>Stan w końcu miesiąca</w:t>
      </w:r>
    </w:p>
    <w:tbl>
      <w:tblPr>
        <w:tblW w:w="0" w:type="auto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</w:tblPr>
      <w:tblGrid>
        <w:gridCol w:w="2268"/>
        <w:gridCol w:w="1024"/>
        <w:gridCol w:w="1025"/>
        <w:gridCol w:w="1025"/>
        <w:gridCol w:w="1025"/>
        <w:gridCol w:w="1024"/>
        <w:gridCol w:w="1025"/>
        <w:gridCol w:w="1025"/>
        <w:gridCol w:w="1025"/>
      </w:tblGrid>
      <w:tr w:rsidR="005227E2" w:rsidRPr="008B4723" w:rsidTr="005B167A">
        <w:tc>
          <w:tcPr>
            <w:tcW w:w="2268" w:type="dxa"/>
            <w:vMerge w:val="restart"/>
            <w:vAlign w:val="center"/>
          </w:tcPr>
          <w:p w:rsidR="005227E2" w:rsidRPr="008B4723" w:rsidRDefault="005227E2" w:rsidP="005B167A">
            <w:pPr>
              <w:keepNext/>
              <w:spacing w:before="60" w:after="60"/>
              <w:jc w:val="center"/>
              <w:outlineLvl w:val="0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SEKCJE PKD</w:t>
            </w:r>
          </w:p>
        </w:tc>
        <w:tc>
          <w:tcPr>
            <w:tcW w:w="2049" w:type="dxa"/>
            <w:gridSpan w:val="2"/>
            <w:vAlign w:val="center"/>
          </w:tcPr>
          <w:p w:rsidR="005227E2" w:rsidRPr="008B4723" w:rsidRDefault="005227E2" w:rsidP="005B167A">
            <w:pPr>
              <w:spacing w:before="60" w:after="60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Stan</w:t>
            </w:r>
          </w:p>
        </w:tc>
        <w:tc>
          <w:tcPr>
            <w:tcW w:w="2050" w:type="dxa"/>
            <w:gridSpan w:val="2"/>
            <w:vAlign w:val="center"/>
          </w:tcPr>
          <w:p w:rsidR="005227E2" w:rsidRPr="008B4723" w:rsidRDefault="005227E2" w:rsidP="005B167A">
            <w:pPr>
              <w:spacing w:before="60" w:after="60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 xml:space="preserve">Nowo 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zarejestrowane</w:t>
            </w:r>
          </w:p>
        </w:tc>
        <w:tc>
          <w:tcPr>
            <w:tcW w:w="2049" w:type="dxa"/>
            <w:gridSpan w:val="2"/>
            <w:vAlign w:val="center"/>
          </w:tcPr>
          <w:p w:rsidR="005227E2" w:rsidRPr="008B4723" w:rsidRDefault="005227E2" w:rsidP="005B167A">
            <w:pPr>
              <w:spacing w:before="60" w:after="60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Wyrejestrowane</w:t>
            </w:r>
          </w:p>
        </w:tc>
        <w:tc>
          <w:tcPr>
            <w:tcW w:w="2050" w:type="dxa"/>
            <w:gridSpan w:val="2"/>
            <w:vAlign w:val="center"/>
          </w:tcPr>
          <w:p w:rsidR="005227E2" w:rsidRPr="008B4723" w:rsidRDefault="005227E2" w:rsidP="005B167A">
            <w:pPr>
              <w:spacing w:before="60" w:after="60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Z z</w:t>
            </w: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awieszon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ą działalnością</w:t>
            </w:r>
            <w:r w:rsidRPr="008B4723">
              <w:rPr>
                <w:rFonts w:eastAsia="Times New Roman"/>
                <w:sz w:val="16"/>
                <w:szCs w:val="16"/>
                <w:lang w:eastAsia="pl-PL"/>
              </w:rPr>
              <w:t xml:space="preserve"> – stan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 w </w:t>
            </w: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końcu miesiąca</w:t>
            </w:r>
          </w:p>
        </w:tc>
      </w:tr>
      <w:tr w:rsidR="005227E2" w:rsidRPr="008B4723" w:rsidTr="005B167A">
        <w:tc>
          <w:tcPr>
            <w:tcW w:w="2268" w:type="dxa"/>
            <w:vMerge/>
          </w:tcPr>
          <w:p w:rsidR="005227E2" w:rsidRPr="008B4723" w:rsidRDefault="005227E2" w:rsidP="005B167A">
            <w:pPr>
              <w:keepNext/>
              <w:spacing w:before="60" w:after="60"/>
              <w:outlineLvl w:val="0"/>
              <w:rPr>
                <w:rFonts w:eastAsia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024" w:type="dxa"/>
            <w:vAlign w:val="center"/>
          </w:tcPr>
          <w:p w:rsidR="005227E2" w:rsidRPr="008B4723" w:rsidRDefault="005227E2" w:rsidP="005B167A">
            <w:pPr>
              <w:spacing w:before="60" w:after="60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luty 2020</w:t>
            </w:r>
          </w:p>
        </w:tc>
        <w:tc>
          <w:tcPr>
            <w:tcW w:w="1025" w:type="dxa"/>
            <w:vAlign w:val="center"/>
          </w:tcPr>
          <w:p w:rsidR="005227E2" w:rsidRPr="008B4723" w:rsidRDefault="005227E2" w:rsidP="005B167A">
            <w:pPr>
              <w:spacing w:before="60" w:after="60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marzec 2020</w:t>
            </w:r>
          </w:p>
        </w:tc>
        <w:tc>
          <w:tcPr>
            <w:tcW w:w="1025" w:type="dxa"/>
            <w:vAlign w:val="center"/>
          </w:tcPr>
          <w:p w:rsidR="005227E2" w:rsidRPr="008B4723" w:rsidRDefault="005227E2" w:rsidP="005B167A">
            <w:pPr>
              <w:spacing w:before="60" w:after="60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w lutym 2020</w:t>
            </w:r>
          </w:p>
        </w:tc>
        <w:tc>
          <w:tcPr>
            <w:tcW w:w="1025" w:type="dxa"/>
            <w:vAlign w:val="center"/>
          </w:tcPr>
          <w:p w:rsidR="005227E2" w:rsidRPr="008B4723" w:rsidRDefault="005227E2" w:rsidP="005B167A">
            <w:pPr>
              <w:spacing w:before="60" w:after="60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w marcu 2020</w:t>
            </w:r>
          </w:p>
        </w:tc>
        <w:tc>
          <w:tcPr>
            <w:tcW w:w="1024" w:type="dxa"/>
            <w:vAlign w:val="center"/>
          </w:tcPr>
          <w:p w:rsidR="005227E2" w:rsidRPr="008B4723" w:rsidRDefault="005227E2" w:rsidP="005B167A">
            <w:pPr>
              <w:spacing w:before="60" w:after="60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w lutym 2020</w:t>
            </w:r>
          </w:p>
        </w:tc>
        <w:tc>
          <w:tcPr>
            <w:tcW w:w="1025" w:type="dxa"/>
            <w:vAlign w:val="center"/>
          </w:tcPr>
          <w:p w:rsidR="005227E2" w:rsidRPr="008B4723" w:rsidRDefault="005227E2" w:rsidP="005B167A">
            <w:pPr>
              <w:spacing w:before="60" w:after="60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w marcu 2020</w:t>
            </w:r>
          </w:p>
        </w:tc>
        <w:tc>
          <w:tcPr>
            <w:tcW w:w="1025" w:type="dxa"/>
            <w:vAlign w:val="center"/>
          </w:tcPr>
          <w:p w:rsidR="005227E2" w:rsidRPr="008B4723" w:rsidRDefault="005227E2" w:rsidP="005B167A">
            <w:pPr>
              <w:spacing w:before="60" w:after="60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luty 2020</w:t>
            </w:r>
          </w:p>
        </w:tc>
        <w:tc>
          <w:tcPr>
            <w:tcW w:w="1025" w:type="dxa"/>
            <w:vAlign w:val="center"/>
          </w:tcPr>
          <w:p w:rsidR="005227E2" w:rsidRPr="008B4723" w:rsidRDefault="005227E2" w:rsidP="005B167A">
            <w:pPr>
              <w:spacing w:before="60" w:after="60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marzec 2020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181587</w:t>
            </w:r>
          </w:p>
        </w:tc>
        <w:tc>
          <w:tcPr>
            <w:tcW w:w="1025" w:type="dxa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181972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1144</w:t>
            </w:r>
          </w:p>
        </w:tc>
        <w:tc>
          <w:tcPr>
            <w:tcW w:w="1025" w:type="dxa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936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643</w:t>
            </w:r>
          </w:p>
        </w:tc>
        <w:tc>
          <w:tcPr>
            <w:tcW w:w="1025" w:type="dxa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519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19612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20293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025" w:type="dxa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025" w:type="dxa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025" w:type="dxa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 w:cs="Arial"/>
                <w:i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iCs/>
                <w:sz w:val="16"/>
                <w:szCs w:val="16"/>
                <w:lang w:eastAsia="pl-PL"/>
              </w:rPr>
              <w:t>Rolnictwo, leśnictwo, łowiectwo i rybactwo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3117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3118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406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390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 w:cs="Arial"/>
                <w:i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Górnictwo i wydobywanie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227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229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b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bCs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31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Przetwórstwo przemysłowe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17231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17248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98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74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57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1772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1778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Wytwarzanie i zaopatrywanie w energię elektryczną, gaz, parę wodną i gorącą wodę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518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518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24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Dostawa wody; gospodarowanie ściekami i odpadami; rekultywacją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502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505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26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Budownictwo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26896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27020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310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210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133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79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4529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4590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ind w:left="-57"/>
              <w:rPr>
                <w:rFonts w:eastAsia="Times New Roman" w:cs="Arial"/>
                <w:bCs/>
                <w:iCs/>
                <w:sz w:val="16"/>
                <w:szCs w:val="16"/>
                <w:vertAlign w:val="superscript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 xml:space="preserve"> Handel; naprawa  pojazdów samochodowych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41248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41261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182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156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143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124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4315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4462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Transport, gospodarka magazynowa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12378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12387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108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61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69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1534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1594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Zakwaterowanie i gastronomia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4961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4976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32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830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865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ind w:left="-57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Informacja i komunikacja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6098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6119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58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656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671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Działalność finansowa i ubezpieczeniowa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4010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4017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412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416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Obsługa rynku nieruchomości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5384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5396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178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186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Działalność profesjonalna, naukowa i techniczna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16274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16334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94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98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39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1709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1754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Administrowanie i działalność wspierająca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4724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4735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33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39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774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792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Administracja publiczna i obrona narodowa; obowiązkowe zabezpieczenia społeczne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1893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1894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-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6691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6714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32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513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590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Opieka zdrowotna i pomoc społeczna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10929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10955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39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55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1017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Działalność związana z kulturą, rozrywką i rekreacją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3954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3963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310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353</w:t>
            </w:r>
          </w:p>
        </w:tc>
      </w:tr>
      <w:tr w:rsidR="005227E2" w:rsidRPr="008B4723" w:rsidTr="005B167A">
        <w:tc>
          <w:tcPr>
            <w:tcW w:w="2268" w:type="dxa"/>
          </w:tcPr>
          <w:p w:rsidR="005227E2" w:rsidRPr="008B4723" w:rsidRDefault="005227E2" w:rsidP="005B167A">
            <w:pPr>
              <w:spacing w:before="60" w:after="60"/>
              <w:ind w:left="-57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  <w:r w:rsidRPr="008B4723"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  <w:t>Pozostała działalność usługowa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13849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13869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56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1024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41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44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698</w:t>
            </w:r>
          </w:p>
        </w:tc>
        <w:tc>
          <w:tcPr>
            <w:tcW w:w="1025" w:type="dxa"/>
            <w:vAlign w:val="bottom"/>
          </w:tcPr>
          <w:p w:rsidR="005227E2" w:rsidRPr="008B4723" w:rsidRDefault="005227E2" w:rsidP="005B167A">
            <w:pPr>
              <w:spacing w:before="60" w:after="6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B4723">
              <w:rPr>
                <w:rFonts w:eastAsia="Times New Roman"/>
                <w:sz w:val="16"/>
                <w:szCs w:val="16"/>
                <w:lang w:eastAsia="pl-PL"/>
              </w:rPr>
              <w:t>750</w:t>
            </w:r>
          </w:p>
        </w:tc>
      </w:tr>
    </w:tbl>
    <w:p w:rsidR="005227E2" w:rsidRDefault="005227E2" w:rsidP="005227E2"/>
    <w:p w:rsidR="005227E2" w:rsidRDefault="005227E2" w:rsidP="005227E2">
      <w:pPr>
        <w:spacing w:line="230" w:lineRule="exact"/>
        <w:ind w:firstLine="454"/>
      </w:pPr>
      <w:r>
        <w:br w:type="page"/>
      </w:r>
    </w:p>
    <w:p w:rsidR="005227E2" w:rsidRPr="008B4723" w:rsidRDefault="005227E2" w:rsidP="005227E2">
      <w:pPr>
        <w:jc w:val="both"/>
        <w:rPr>
          <w:rFonts w:eastAsia="Times New Roman"/>
          <w:bCs/>
          <w:sz w:val="20"/>
          <w:lang w:eastAsia="pl-PL"/>
        </w:rPr>
      </w:pPr>
      <w:r w:rsidRPr="008B4723">
        <w:rPr>
          <w:rFonts w:eastAsia="Times New Roman"/>
          <w:bCs/>
          <w:sz w:val="20"/>
          <w:lang w:eastAsia="pl-PL"/>
        </w:rPr>
        <w:lastRenderedPageBreak/>
        <w:t xml:space="preserve">Podmiotów z zawieszoną działalnością w końcu marca br. było o 681, tj. o 3,5% więcej niż przed miesiącem (w kraju – o 3,9%). Stosunkowo duży wzrost podmiotów z zawieszoną działalnością wystąpił w sekcji edukacja – o 15,0% więcej niż w końcu lutego br. (w kraju o 14,6%), działalność związana z kulturą, rozrywką i rekreacją – o 13,9% (w kraju o 12,0%), opieka zdrowotna i pomoc społeczna – o 13,0% (w kraju o 9,4%), pozostała działalność usługowa – o 7,4% (w kraju o 10,7%). W marcu 2020 r. zarejestrowano 936 nowych podmiotów, tzn. o 18,2% mniej niż w lutym br. (podobny spadek jak w Polsce), wyrejestrowano natomiast 519 podmiotów, czyli o 19,3% mniej niż przed miesiącem (w Polsce o 21,8% mniej). </w:t>
      </w:r>
    </w:p>
    <w:p w:rsidR="005227E2" w:rsidRDefault="005227E2" w:rsidP="005227E2"/>
    <w:p w:rsidR="00F326ED" w:rsidRPr="00F326ED" w:rsidRDefault="005227E2" w:rsidP="00F326ED">
      <w:pPr>
        <w:ind w:left="851" w:hanging="851"/>
        <w:rPr>
          <w:b/>
        </w:rPr>
      </w:pPr>
      <w:r>
        <w:t xml:space="preserve">Wykres </w:t>
      </w:r>
      <w:r w:rsidR="00137E4A">
        <w:t>1</w:t>
      </w:r>
      <w:r>
        <w:t xml:space="preserve">. </w:t>
      </w:r>
      <w:r w:rsidRPr="006422B4">
        <w:rPr>
          <w:b/>
        </w:rPr>
        <w:t>Podmioty gospodarki narodowej nowo zarejestrowane w rejestrze REGON</w:t>
      </w:r>
      <w:r w:rsidR="00F326ED">
        <w:rPr>
          <w:b/>
        </w:rPr>
        <w:t xml:space="preserve"> </w:t>
      </w:r>
      <w:r w:rsidR="00F326ED" w:rsidRPr="00F326ED">
        <w:rPr>
          <w:b/>
        </w:rPr>
        <w:t>w mar</w:t>
      </w:r>
      <w:r w:rsidR="00F326ED">
        <w:rPr>
          <w:b/>
        </w:rPr>
        <w:t>cu 2020 r. (dynamika miesiąc po</w:t>
      </w:r>
      <w:r w:rsidR="00F326ED" w:rsidRPr="00F326ED">
        <w:rPr>
          <w:b/>
        </w:rPr>
        <w:t>przedni = 100)</w:t>
      </w:r>
    </w:p>
    <w:p w:rsidR="005227E2" w:rsidRPr="00453AC7" w:rsidRDefault="005227E2" w:rsidP="005227E2">
      <w:pPr>
        <w:ind w:left="709" w:hanging="709"/>
        <w:rPr>
          <w:b/>
        </w:rPr>
      </w:pPr>
    </w:p>
    <w:p w:rsidR="005227E2" w:rsidRDefault="005227E2" w:rsidP="005227E2">
      <w:r>
        <w:rPr>
          <w:noProof/>
          <w:lang w:eastAsia="pl-PL"/>
        </w:rPr>
        <w:drawing>
          <wp:inline distT="0" distB="0" distL="0" distR="0" wp14:anchorId="61EDA637" wp14:editId="750E7E9E">
            <wp:extent cx="6278880" cy="3786997"/>
            <wp:effectExtent l="0" t="0" r="7620" b="4445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227E2" w:rsidRDefault="005227E2" w:rsidP="005227E2">
      <w:pPr>
        <w:spacing w:line="230" w:lineRule="exact"/>
        <w:ind w:firstLine="454"/>
      </w:pPr>
    </w:p>
    <w:p w:rsidR="005227E2" w:rsidRPr="00453AC7" w:rsidRDefault="005227E2" w:rsidP="005227E2">
      <w:pPr>
        <w:ind w:left="993" w:hanging="993"/>
        <w:rPr>
          <w:b/>
        </w:rPr>
      </w:pPr>
      <w:r>
        <w:t xml:space="preserve">Wykres </w:t>
      </w:r>
      <w:r w:rsidR="00137E4A">
        <w:t>2</w:t>
      </w:r>
      <w:r>
        <w:t xml:space="preserve">. </w:t>
      </w:r>
      <w:r w:rsidRPr="006422B4">
        <w:rPr>
          <w:b/>
        </w:rPr>
        <w:t>Podmioty gospodarki narodowej wyrejestrowane z rejestru REGON w marcu 2020 r. (dynamika miesiąc po-przedni = 100)</w:t>
      </w:r>
      <w:bookmarkStart w:id="3" w:name="_GoBack"/>
      <w:bookmarkEnd w:id="3"/>
    </w:p>
    <w:p w:rsidR="005227E2" w:rsidRDefault="005227E2" w:rsidP="005227E2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481C7027" wp14:editId="060772A5">
            <wp:extent cx="6257290" cy="3838755"/>
            <wp:effectExtent l="0" t="0" r="0" b="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27E2" w:rsidRPr="0038588E" w:rsidRDefault="005227E2" w:rsidP="005227E2">
      <w:pPr>
        <w:ind w:left="1134" w:hanging="1134"/>
      </w:pPr>
      <w:r>
        <w:lastRenderedPageBreak/>
        <w:t xml:space="preserve">Wykres </w:t>
      </w:r>
      <w:r w:rsidR="00137E4A">
        <w:t>3</w:t>
      </w:r>
      <w:r>
        <w:t xml:space="preserve">. </w:t>
      </w:r>
      <w:r w:rsidRPr="006422B4">
        <w:rPr>
          <w:b/>
        </w:rPr>
        <w:t>Podmioty gospodarki narodowej z zawieszoną działalnością w rejestrze REGON – stan w końcu marca 2020 r.</w:t>
      </w:r>
    </w:p>
    <w:p w:rsidR="005227E2" w:rsidRDefault="005227E2" w:rsidP="005227E2">
      <w:r>
        <w:rPr>
          <w:noProof/>
          <w:lang w:eastAsia="pl-PL"/>
        </w:rPr>
        <w:drawing>
          <wp:inline distT="0" distB="0" distL="0" distR="0" wp14:anchorId="66C5DBB0" wp14:editId="4F89CE2C">
            <wp:extent cx="6275070" cy="4425351"/>
            <wp:effectExtent l="0" t="0" r="0" b="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308A8" w:rsidRDefault="00B308A8">
      <w:pPr>
        <w:spacing w:line="230" w:lineRule="exact"/>
        <w:ind w:firstLine="454"/>
      </w:pPr>
    </w:p>
    <w:p w:rsidR="00555C90" w:rsidRPr="00555C90" w:rsidRDefault="00555C90" w:rsidP="00555C90">
      <w:pPr>
        <w:pStyle w:val="Nagwek1"/>
        <w:tabs>
          <w:tab w:val="left" w:pos="4643"/>
        </w:tabs>
        <w:spacing w:before="120" w:after="120"/>
        <w:jc w:val="both"/>
      </w:pPr>
      <w:bookmarkStart w:id="4" w:name="_Toc328389333"/>
      <w:bookmarkStart w:id="5" w:name="_Toc507071634"/>
      <w:bookmarkStart w:id="6" w:name="_Toc507072377"/>
      <w:bookmarkStart w:id="7" w:name="_Toc507417429"/>
      <w:bookmarkStart w:id="8" w:name="_Toc6905823"/>
      <w:r w:rsidRPr="00555C90">
        <w:t xml:space="preserve">Przemysł </w:t>
      </w:r>
      <w:bookmarkEnd w:id="4"/>
      <w:bookmarkEnd w:id="5"/>
      <w:bookmarkEnd w:id="6"/>
      <w:bookmarkEnd w:id="7"/>
      <w:bookmarkEnd w:id="8"/>
    </w:p>
    <w:p w:rsidR="00555C90" w:rsidRPr="00555C90" w:rsidRDefault="00555C90" w:rsidP="00555C90">
      <w:pPr>
        <w:spacing w:before="120" w:after="120" w:line="240" w:lineRule="exact"/>
        <w:jc w:val="both"/>
      </w:pPr>
      <w:r w:rsidRPr="00555C90">
        <w:rPr>
          <w:b/>
          <w:bCs/>
        </w:rPr>
        <w:t>Produkcja sprzedana przemysłu</w:t>
      </w:r>
      <w:r w:rsidRPr="00555C90">
        <w:rPr>
          <w:bCs/>
        </w:rPr>
        <w:t xml:space="preserve"> w </w:t>
      </w:r>
      <w:r w:rsidRPr="00555C90">
        <w:t>marcu br. osiągnęła wartość (w cenach bieżących) 4404,9 mln zł i była (w cenach stałych) o 8,9% niższa niż w marcu 2019 r., kiedy notowano wzrost o 9,1%. W porównaniu z poprzednim miesiącem produkcja sprzedana obniżyła się o 0,7%. W I kwartale br. wyniosła 13037</w:t>
      </w:r>
      <w:r w:rsidR="00346B3F">
        <w:t>,</w:t>
      </w:r>
      <w:r w:rsidRPr="00555C90">
        <w:t xml:space="preserve">8 mln zł i była o 2,5% niższa niż przed rokiem. Była to najniższa dynamika pośród wszystkich województw. Uwzględniając działy o znaczącym udziale w produkcji sprzedanej przemysłu największy spadek, w odniesieniu do marca ub. roku, wystąpił w produkcji maszyn i urządzeń (o 28,6%), komputerów, wyrobów elektronicznych i optycznych (o 23,3%) oraz pojazdów samochodowych, przyczep i naczep (o 23,1%). </w:t>
      </w:r>
    </w:p>
    <w:p w:rsidR="00555C90" w:rsidRDefault="00555C90" w:rsidP="00555C90">
      <w:pPr>
        <w:spacing w:before="120" w:after="120" w:line="240" w:lineRule="exact"/>
        <w:jc w:val="both"/>
      </w:pPr>
      <w:r w:rsidRPr="00555C90">
        <w:t>Produkcja sprzedana budownictwa (w cenach bieżących) w marcu br. wyniosła 608,7 mln zł. Była wyższa niż w marcu ub. roku o 10,4% i wyższa w porównaniu z lutym br. o 12,8%. Od początku roku produkcja sprzedana przedsiębiorstw budowlanych osiągnęła wartość 1715,4 mln zł i wzrosła o 15,3% w porównaniu z analogicznym okresem ub. roku.</w:t>
      </w:r>
    </w:p>
    <w:p w:rsidR="005227E2" w:rsidRPr="00555C90" w:rsidRDefault="005227E2" w:rsidP="00555C90">
      <w:pPr>
        <w:spacing w:before="120" w:after="120" w:line="240" w:lineRule="exact"/>
        <w:jc w:val="both"/>
      </w:pPr>
    </w:p>
    <w:p w:rsidR="005227E2" w:rsidRPr="00555C90" w:rsidRDefault="005227E2" w:rsidP="005227E2">
      <w:pPr>
        <w:pStyle w:val="Nagwek1"/>
        <w:tabs>
          <w:tab w:val="left" w:pos="4643"/>
        </w:tabs>
        <w:spacing w:before="120" w:after="120"/>
        <w:jc w:val="both"/>
      </w:pPr>
      <w:bookmarkStart w:id="9" w:name="_Toc6905825"/>
      <w:r w:rsidRPr="00555C90">
        <w:t>Rynek wewnętrzny</w:t>
      </w:r>
      <w:bookmarkEnd w:id="9"/>
    </w:p>
    <w:p w:rsidR="005227E2" w:rsidRDefault="005227E2" w:rsidP="005227E2">
      <w:pPr>
        <w:spacing w:before="120" w:after="120" w:line="240" w:lineRule="exact"/>
        <w:jc w:val="both"/>
      </w:pPr>
      <w:r w:rsidRPr="00555C90">
        <w:t>W okresie trzech miesięcy br. sprzedaż detaliczna była wyższa o 0,9% w porównaniu z a</w:t>
      </w:r>
      <w:r>
        <w:t>nalogicznym okresem ub. roku. W </w:t>
      </w:r>
      <w:r w:rsidRPr="00555C90">
        <w:t xml:space="preserve">odniesieniu do poprzedniego miesiąca obniżyła się m.in. sprzedaż tekstyliów, odzieży, obuwia (o 47,1%) oraz pojazdów samochodowych, motocykli, części (o 36,2%), a wzrosła sprzedaż żywności, napojów i wyrobów tytoniowych (o 13,4%) oraz farmaceutyków, kosmetyków, sprzętu ortopedycznego (o 13,2%). </w:t>
      </w:r>
    </w:p>
    <w:p w:rsidR="003F753A" w:rsidRPr="00555C90" w:rsidRDefault="003F753A" w:rsidP="00555C90">
      <w:pPr>
        <w:spacing w:before="120" w:after="120" w:line="240" w:lineRule="exact"/>
        <w:jc w:val="both"/>
      </w:pPr>
    </w:p>
    <w:p w:rsidR="006B3FC8" w:rsidRDefault="006B3FC8" w:rsidP="007402C6">
      <w:pPr>
        <w:pStyle w:val="Nagwek1"/>
        <w:tabs>
          <w:tab w:val="left" w:pos="4643"/>
        </w:tabs>
        <w:spacing w:before="120" w:after="120"/>
      </w:pPr>
      <w:r w:rsidRPr="006B3FC8">
        <w:t>Budownictwo</w:t>
      </w:r>
      <w:bookmarkEnd w:id="2"/>
      <w:r w:rsidR="007402C6">
        <w:t xml:space="preserve"> mieszkaniowe</w:t>
      </w:r>
    </w:p>
    <w:p w:rsidR="005227E2" w:rsidRDefault="007402C6" w:rsidP="007402C6">
      <w:pPr>
        <w:spacing w:before="120" w:after="120" w:line="240" w:lineRule="exact"/>
        <w:jc w:val="both"/>
        <w:rPr>
          <w:rFonts w:cstheme="minorBidi"/>
          <w:szCs w:val="19"/>
          <w:shd w:val="clear" w:color="auto" w:fill="FFFFFF"/>
        </w:rPr>
      </w:pPr>
      <w:r w:rsidRPr="007402C6">
        <w:rPr>
          <w:rFonts w:cstheme="minorBidi"/>
          <w:szCs w:val="19"/>
          <w:shd w:val="clear" w:color="auto" w:fill="FFFFFF"/>
        </w:rPr>
        <w:t xml:space="preserve">Według wstępnych danych, w marcu 2020 r. oddano do użytkowania w województwie podkarpackim 400 mieszkań, tj. o 42,4% mniej niż w marcu 2019 r. (w kraju </w:t>
      </w:r>
      <w:r w:rsidR="008D4FA1">
        <w:rPr>
          <w:rFonts w:cstheme="minorBidi"/>
          <w:szCs w:val="19"/>
          <w:shd w:val="clear" w:color="auto" w:fill="FFFFFF"/>
        </w:rPr>
        <w:t xml:space="preserve">o </w:t>
      </w:r>
      <w:r w:rsidRPr="007402C6">
        <w:rPr>
          <w:rFonts w:cstheme="minorBidi"/>
          <w:szCs w:val="19"/>
          <w:shd w:val="clear" w:color="auto" w:fill="FFFFFF"/>
        </w:rPr>
        <w:t xml:space="preserve">6,8% więcej niż przed rokiem). </w:t>
      </w:r>
      <w:r w:rsidRPr="00F561CC">
        <w:rPr>
          <w:rFonts w:cstheme="minorBidi"/>
          <w:b/>
          <w:szCs w:val="19"/>
          <w:shd w:val="clear" w:color="auto" w:fill="FFFFFF"/>
        </w:rPr>
        <w:t>Inwestorzy indywidualni</w:t>
      </w:r>
      <w:r w:rsidRPr="007402C6">
        <w:rPr>
          <w:rFonts w:cstheme="minorBidi"/>
          <w:b/>
          <w:szCs w:val="19"/>
          <w:shd w:val="clear" w:color="auto" w:fill="FFFFFF"/>
        </w:rPr>
        <w:t xml:space="preserve"> </w:t>
      </w:r>
      <w:r w:rsidR="00F561CC">
        <w:rPr>
          <w:rFonts w:cstheme="minorBidi"/>
          <w:szCs w:val="19"/>
          <w:shd w:val="clear" w:color="auto" w:fill="FFFFFF"/>
        </w:rPr>
        <w:t xml:space="preserve">oddali </w:t>
      </w:r>
      <w:r w:rsidRPr="007402C6">
        <w:rPr>
          <w:rFonts w:cstheme="minorBidi"/>
          <w:szCs w:val="19"/>
          <w:shd w:val="clear" w:color="auto" w:fill="FFFFFF"/>
        </w:rPr>
        <w:t xml:space="preserve"> 335 mieszkań, tj. </w:t>
      </w:r>
      <w:r w:rsidR="008D4FA1">
        <w:rPr>
          <w:rFonts w:cstheme="minorBidi"/>
          <w:szCs w:val="19"/>
          <w:shd w:val="clear" w:color="auto" w:fill="FFFFFF"/>
        </w:rPr>
        <w:t xml:space="preserve">o </w:t>
      </w:r>
      <w:r w:rsidRPr="007402C6">
        <w:rPr>
          <w:rFonts w:cstheme="minorBidi"/>
          <w:szCs w:val="19"/>
          <w:shd w:val="clear" w:color="auto" w:fill="FFFFFF"/>
        </w:rPr>
        <w:t xml:space="preserve">18,5% mniej niż przed rokiem (w kraju o 2,1% mniej), natomiast </w:t>
      </w:r>
      <w:r w:rsidRPr="007402C6">
        <w:rPr>
          <w:rFonts w:cstheme="minorBidi"/>
          <w:b/>
          <w:szCs w:val="19"/>
          <w:shd w:val="clear" w:color="auto" w:fill="FFFFFF"/>
        </w:rPr>
        <w:t>deweloperzy</w:t>
      </w:r>
      <w:r w:rsidRPr="007402C6">
        <w:rPr>
          <w:rFonts w:cstheme="minorBidi"/>
          <w:szCs w:val="19"/>
        </w:rPr>
        <w:t xml:space="preserve"> </w:t>
      </w:r>
      <w:r w:rsidRPr="007402C6">
        <w:rPr>
          <w:rFonts w:cstheme="minorBidi"/>
          <w:szCs w:val="19"/>
          <w:shd w:val="clear" w:color="auto" w:fill="FFFFFF"/>
        </w:rPr>
        <w:t>przekazali do eksploatacji 65 mieszkań tj. o 77,1% mniej niż przed rokiem (w kraju o 17,0% więcej), W </w:t>
      </w:r>
      <w:r w:rsidRPr="007402C6">
        <w:rPr>
          <w:rFonts w:cstheme="minorBidi"/>
          <w:b/>
          <w:szCs w:val="19"/>
          <w:shd w:val="clear" w:color="auto" w:fill="FFFFFF"/>
        </w:rPr>
        <w:t>pozostałych formach budownictwa</w:t>
      </w:r>
      <w:r w:rsidRPr="007402C6">
        <w:rPr>
          <w:rFonts w:cstheme="minorBidi"/>
          <w:szCs w:val="19"/>
          <w:shd w:val="clear" w:color="auto" w:fill="FFFFFF"/>
        </w:rPr>
        <w:t xml:space="preserve"> na Podkarpaciu nie odnotowano efektów</w:t>
      </w:r>
      <w:r w:rsidR="008D4FA1">
        <w:rPr>
          <w:rFonts w:cstheme="minorBidi"/>
          <w:szCs w:val="19"/>
          <w:shd w:val="clear" w:color="auto" w:fill="FFFFFF"/>
        </w:rPr>
        <w:t>.</w:t>
      </w:r>
    </w:p>
    <w:p w:rsidR="005227E2" w:rsidRDefault="005227E2" w:rsidP="005227E2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981973" w:rsidRDefault="00981973" w:rsidP="007402C6">
      <w:pPr>
        <w:spacing w:before="120" w:after="120" w:line="240" w:lineRule="exact"/>
        <w:jc w:val="both"/>
        <w:rPr>
          <w:rFonts w:cstheme="minorBidi"/>
          <w:szCs w:val="19"/>
          <w:shd w:val="clear" w:color="auto" w:fill="FFFFFF"/>
        </w:rPr>
      </w:pPr>
      <w:r>
        <w:rPr>
          <w:rFonts w:cstheme="minorBidi"/>
          <w:szCs w:val="19"/>
          <w:shd w:val="clear" w:color="auto" w:fill="FFFFFF"/>
        </w:rPr>
        <w:lastRenderedPageBreak/>
        <w:t>Wykres</w:t>
      </w:r>
      <w:r w:rsidR="003B3729">
        <w:rPr>
          <w:rFonts w:cstheme="minorBidi"/>
          <w:szCs w:val="19"/>
          <w:shd w:val="clear" w:color="auto" w:fill="FFFFFF"/>
        </w:rPr>
        <w:t xml:space="preserve"> </w:t>
      </w:r>
      <w:r w:rsidR="00137E4A">
        <w:rPr>
          <w:rFonts w:cstheme="minorBidi"/>
          <w:szCs w:val="19"/>
          <w:shd w:val="clear" w:color="auto" w:fill="FFFFFF"/>
        </w:rPr>
        <w:t>4</w:t>
      </w:r>
      <w:r w:rsidR="003B3729">
        <w:rPr>
          <w:rFonts w:cstheme="minorBidi"/>
          <w:szCs w:val="19"/>
          <w:shd w:val="clear" w:color="auto" w:fill="FFFFFF"/>
        </w:rPr>
        <w:t>.</w:t>
      </w:r>
      <w:r>
        <w:rPr>
          <w:rFonts w:cstheme="minorBidi"/>
          <w:szCs w:val="19"/>
          <w:shd w:val="clear" w:color="auto" w:fill="FFFFFF"/>
        </w:rPr>
        <w:t xml:space="preserve"> </w:t>
      </w:r>
      <w:r w:rsidRPr="00981973">
        <w:rPr>
          <w:rFonts w:cstheme="minorBidi"/>
          <w:b/>
          <w:szCs w:val="19"/>
          <w:shd w:val="clear" w:color="auto" w:fill="FFFFFF"/>
        </w:rPr>
        <w:t>Liczba mieszkań oddanych do użytkowania w marcu 2020 r. (analogiczny okres roku poprzedniego = 100)</w:t>
      </w:r>
    </w:p>
    <w:p w:rsidR="008B4723" w:rsidRDefault="00981973" w:rsidP="00981973">
      <w:pPr>
        <w:spacing w:before="120" w:after="120"/>
        <w:jc w:val="center"/>
        <w:rPr>
          <w:rFonts w:cstheme="minorBidi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7FD5EE2" wp14:editId="06B2DCDF">
            <wp:extent cx="5335270" cy="3307742"/>
            <wp:effectExtent l="0" t="0" r="0" b="6985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63369" w:rsidRDefault="00D63369" w:rsidP="00D63369">
      <w:pPr>
        <w:spacing w:before="120" w:after="120" w:line="240" w:lineRule="exact"/>
        <w:jc w:val="both"/>
        <w:rPr>
          <w:rFonts w:cstheme="minorBidi"/>
          <w:szCs w:val="19"/>
          <w:shd w:val="clear" w:color="auto" w:fill="FFFFFF"/>
        </w:rPr>
      </w:pPr>
      <w:r w:rsidRPr="007402C6">
        <w:rPr>
          <w:rFonts w:cstheme="minorBidi"/>
          <w:szCs w:val="19"/>
          <w:shd w:val="clear" w:color="auto" w:fill="FFFFFF"/>
        </w:rPr>
        <w:t>W marcu 2020 r. największą dynamiką liczbą mieszkań oddanych do użytkowania charakteryzowało się województwo zachodniopomorskie (blisko 2,5 krotny wzrost) oraz województwa śląskie i warmińsko-mazurskie (od</w:t>
      </w:r>
      <w:r>
        <w:rPr>
          <w:rFonts w:cstheme="minorBidi"/>
          <w:szCs w:val="19"/>
          <w:shd w:val="clear" w:color="auto" w:fill="FFFFFF"/>
        </w:rPr>
        <w:t>powiednio o 82,9% i o </w:t>
      </w:r>
      <w:r w:rsidRPr="007402C6">
        <w:rPr>
          <w:rFonts w:cstheme="minorBidi"/>
          <w:szCs w:val="19"/>
          <w:shd w:val="clear" w:color="auto" w:fill="FFFFFF"/>
        </w:rPr>
        <w:t xml:space="preserve">61,3%), natomiast największy spadek w marcu br. w odniesieniu do marca 2019 r. odnotowano w województwie podkarpackim i dolnośląskim (odpowiednio </w:t>
      </w:r>
      <w:r>
        <w:rPr>
          <w:rFonts w:cstheme="minorBidi"/>
          <w:szCs w:val="19"/>
          <w:shd w:val="clear" w:color="auto" w:fill="FFFFFF"/>
        </w:rPr>
        <w:t xml:space="preserve">o </w:t>
      </w:r>
      <w:r w:rsidRPr="007402C6">
        <w:rPr>
          <w:rFonts w:cstheme="minorBidi"/>
          <w:szCs w:val="19"/>
          <w:shd w:val="clear" w:color="auto" w:fill="FFFFFF"/>
        </w:rPr>
        <w:t xml:space="preserve">42,4% i </w:t>
      </w:r>
      <w:r>
        <w:rPr>
          <w:rFonts w:cstheme="minorBidi"/>
          <w:szCs w:val="19"/>
          <w:shd w:val="clear" w:color="auto" w:fill="FFFFFF"/>
        </w:rPr>
        <w:t xml:space="preserve">o </w:t>
      </w:r>
      <w:r w:rsidRPr="007402C6">
        <w:rPr>
          <w:rFonts w:cstheme="minorBidi"/>
          <w:szCs w:val="19"/>
          <w:shd w:val="clear" w:color="auto" w:fill="FFFFFF"/>
        </w:rPr>
        <w:t>37,2%).</w:t>
      </w:r>
    </w:p>
    <w:p w:rsidR="00D63369" w:rsidRPr="007402C6" w:rsidRDefault="00D63369" w:rsidP="00D63369">
      <w:pPr>
        <w:spacing w:before="120" w:after="120" w:line="240" w:lineRule="exact"/>
        <w:jc w:val="both"/>
        <w:rPr>
          <w:rFonts w:cstheme="minorBidi"/>
          <w:b/>
          <w:szCs w:val="19"/>
          <w:shd w:val="clear" w:color="auto" w:fill="FFFFFF"/>
        </w:rPr>
      </w:pPr>
      <w:r w:rsidRPr="007402C6">
        <w:rPr>
          <w:rFonts w:cstheme="minorBidi"/>
          <w:szCs w:val="19"/>
          <w:shd w:val="clear" w:color="auto" w:fill="FFFFFF"/>
        </w:rPr>
        <w:t>W marcu 2020 r. w województwie podkarpackim wydano pozwolenia lub dokonano zgłoszenia budowy 1333 mieszkań, tj. o</w:t>
      </w:r>
      <w:r>
        <w:rPr>
          <w:rFonts w:cstheme="minorBidi"/>
          <w:szCs w:val="19"/>
          <w:shd w:val="clear" w:color="auto" w:fill="FFFFFF"/>
        </w:rPr>
        <w:t> </w:t>
      </w:r>
      <w:r w:rsidRPr="007402C6">
        <w:rPr>
          <w:rFonts w:cstheme="minorBidi"/>
          <w:szCs w:val="19"/>
          <w:shd w:val="clear" w:color="auto" w:fill="FFFFFF"/>
        </w:rPr>
        <w:t xml:space="preserve">42,0% więcej niż w marcu 2019 r. (w Polsce </w:t>
      </w:r>
      <w:r>
        <w:rPr>
          <w:rFonts w:cstheme="minorBidi"/>
          <w:szCs w:val="19"/>
          <w:shd w:val="clear" w:color="auto" w:fill="FFFFFF"/>
        </w:rPr>
        <w:t xml:space="preserve">o </w:t>
      </w:r>
      <w:r w:rsidRPr="007402C6">
        <w:rPr>
          <w:rFonts w:cstheme="minorBidi"/>
          <w:szCs w:val="19"/>
          <w:shd w:val="clear" w:color="auto" w:fill="FFFFFF"/>
        </w:rPr>
        <w:t xml:space="preserve">10,5% więcej). Pozwolenia na budowę największej liczby mieszkań otrzymali </w:t>
      </w:r>
      <w:r w:rsidRPr="007402C6">
        <w:rPr>
          <w:rFonts w:cstheme="minorBidi"/>
          <w:b/>
          <w:szCs w:val="19"/>
          <w:shd w:val="clear" w:color="auto" w:fill="FFFFFF"/>
        </w:rPr>
        <w:t xml:space="preserve">deweloperzy </w:t>
      </w:r>
      <w:r w:rsidRPr="007402C6">
        <w:rPr>
          <w:rFonts w:cstheme="minorBidi"/>
          <w:szCs w:val="19"/>
          <w:shd w:val="clear" w:color="auto" w:fill="FFFFFF"/>
        </w:rPr>
        <w:t xml:space="preserve">753 tj. blisko 2,5-krotnie więcej niż przed rokiem (w kraju </w:t>
      </w:r>
      <w:r>
        <w:rPr>
          <w:rFonts w:cstheme="minorBidi"/>
          <w:szCs w:val="19"/>
          <w:shd w:val="clear" w:color="auto" w:fill="FFFFFF"/>
        </w:rPr>
        <w:t xml:space="preserve">był </w:t>
      </w:r>
      <w:r w:rsidRPr="007402C6">
        <w:rPr>
          <w:rFonts w:cstheme="minorBidi"/>
          <w:szCs w:val="19"/>
          <w:shd w:val="clear" w:color="auto" w:fill="FFFFFF"/>
        </w:rPr>
        <w:t>wzrost o 23,5%). Inwestorzy</w:t>
      </w:r>
      <w:r w:rsidRPr="007402C6">
        <w:rPr>
          <w:rFonts w:cstheme="minorBidi"/>
          <w:b/>
          <w:szCs w:val="19"/>
          <w:shd w:val="clear" w:color="auto" w:fill="FFFFFF"/>
        </w:rPr>
        <w:t xml:space="preserve"> indywidualni </w:t>
      </w:r>
      <w:r w:rsidRPr="007402C6">
        <w:rPr>
          <w:rFonts w:cstheme="minorBidi"/>
          <w:szCs w:val="19"/>
          <w:shd w:val="clear" w:color="auto" w:fill="FFFFFF"/>
        </w:rPr>
        <w:t xml:space="preserve">otrzymali 580 pozwoleń tj. </w:t>
      </w:r>
      <w:r>
        <w:rPr>
          <w:rFonts w:cstheme="minorBidi"/>
          <w:szCs w:val="19"/>
          <w:shd w:val="clear" w:color="auto" w:fill="FFFFFF"/>
        </w:rPr>
        <w:t xml:space="preserve">o </w:t>
      </w:r>
      <w:r w:rsidRPr="007402C6">
        <w:rPr>
          <w:rFonts w:cstheme="minorBidi"/>
          <w:szCs w:val="19"/>
          <w:shd w:val="clear" w:color="auto" w:fill="FFFFFF"/>
        </w:rPr>
        <w:t xml:space="preserve">5,5% mniej niż w marcu 2019 r. (w Polsce o 4,8% mniej). W marcu br. w </w:t>
      </w:r>
      <w:r w:rsidRPr="007402C6">
        <w:rPr>
          <w:rFonts w:cstheme="minorBidi"/>
          <w:b/>
          <w:szCs w:val="19"/>
          <w:shd w:val="clear" w:color="auto" w:fill="FFFFFF"/>
        </w:rPr>
        <w:t xml:space="preserve">pozostałych formach </w:t>
      </w:r>
      <w:r w:rsidRPr="007402C6">
        <w:rPr>
          <w:rFonts w:cstheme="minorBidi"/>
          <w:szCs w:val="19"/>
          <w:shd w:val="clear" w:color="auto" w:fill="FFFFFF"/>
        </w:rPr>
        <w:t>budownictwa</w:t>
      </w:r>
      <w:r w:rsidRPr="007402C6">
        <w:rPr>
          <w:rFonts w:cstheme="minorBidi"/>
          <w:b/>
          <w:szCs w:val="19"/>
          <w:shd w:val="clear" w:color="auto" w:fill="FFFFFF"/>
        </w:rPr>
        <w:t xml:space="preserve"> </w:t>
      </w:r>
      <w:r w:rsidRPr="007402C6">
        <w:rPr>
          <w:rFonts w:cstheme="minorBidi"/>
          <w:szCs w:val="19"/>
          <w:shd w:val="clear" w:color="auto" w:fill="FFFFFF"/>
        </w:rPr>
        <w:t>na Podkarpaciu nie odnotowano efektów.</w:t>
      </w:r>
    </w:p>
    <w:p w:rsidR="00981973" w:rsidRPr="007402C6" w:rsidRDefault="00981973" w:rsidP="00981973">
      <w:pPr>
        <w:spacing w:before="120" w:after="120" w:line="240" w:lineRule="exact"/>
        <w:ind w:left="709" w:hanging="709"/>
        <w:jc w:val="both"/>
        <w:rPr>
          <w:rFonts w:cstheme="minorBidi"/>
          <w:szCs w:val="19"/>
          <w:shd w:val="clear" w:color="auto" w:fill="FFFFFF"/>
        </w:rPr>
      </w:pPr>
      <w:r>
        <w:rPr>
          <w:rFonts w:cstheme="minorBidi"/>
          <w:szCs w:val="19"/>
          <w:shd w:val="clear" w:color="auto" w:fill="FFFFFF"/>
        </w:rPr>
        <w:t>Wykres</w:t>
      </w:r>
      <w:r w:rsidR="003B3729">
        <w:rPr>
          <w:rFonts w:cstheme="minorBidi"/>
          <w:szCs w:val="19"/>
          <w:shd w:val="clear" w:color="auto" w:fill="FFFFFF"/>
        </w:rPr>
        <w:t xml:space="preserve"> </w:t>
      </w:r>
      <w:r w:rsidR="00137E4A">
        <w:rPr>
          <w:rFonts w:cstheme="minorBidi"/>
          <w:szCs w:val="19"/>
          <w:shd w:val="clear" w:color="auto" w:fill="FFFFFF"/>
        </w:rPr>
        <w:t>5</w:t>
      </w:r>
      <w:r w:rsidR="003B3729">
        <w:rPr>
          <w:rFonts w:cstheme="minorBidi"/>
          <w:szCs w:val="19"/>
          <w:shd w:val="clear" w:color="auto" w:fill="FFFFFF"/>
        </w:rPr>
        <w:t xml:space="preserve">. </w:t>
      </w:r>
      <w:r w:rsidRPr="00981973">
        <w:rPr>
          <w:rFonts w:cstheme="minorBidi"/>
          <w:b/>
          <w:szCs w:val="19"/>
          <w:shd w:val="clear" w:color="auto" w:fill="FFFFFF"/>
        </w:rPr>
        <w:t xml:space="preserve">Liczba </w:t>
      </w:r>
      <w:r w:rsidRPr="007402C6">
        <w:rPr>
          <w:rFonts w:eastAsia="Times New Roman" w:cs="Calibri"/>
          <w:b/>
          <w:color w:val="000000"/>
          <w:szCs w:val="19"/>
          <w:lang w:eastAsia="pl-PL"/>
        </w:rPr>
        <w:t>mieszkań, na których budowę wydano pozwolenia lub dokonano</w:t>
      </w:r>
      <w:r w:rsidRPr="00981973">
        <w:rPr>
          <w:rFonts w:eastAsia="Times New Roman" w:cs="Calibri"/>
          <w:b/>
          <w:color w:val="000000"/>
          <w:szCs w:val="19"/>
          <w:lang w:eastAsia="pl-PL"/>
        </w:rPr>
        <w:t xml:space="preserve"> </w:t>
      </w:r>
      <w:r w:rsidRPr="007402C6">
        <w:rPr>
          <w:rFonts w:eastAsia="Times New Roman" w:cs="Calibri"/>
          <w:b/>
          <w:color w:val="000000"/>
          <w:szCs w:val="19"/>
          <w:lang w:eastAsia="pl-PL"/>
        </w:rPr>
        <w:t>zgłoszenia z projektem</w:t>
      </w:r>
      <w:r w:rsidRPr="00981973">
        <w:rPr>
          <w:rFonts w:eastAsia="Times New Roman" w:cs="Calibri"/>
          <w:b/>
          <w:color w:val="000000"/>
          <w:szCs w:val="19"/>
          <w:lang w:eastAsia="pl-PL"/>
        </w:rPr>
        <w:t xml:space="preserve"> </w:t>
      </w:r>
      <w:r w:rsidRPr="007402C6">
        <w:rPr>
          <w:rFonts w:eastAsia="Times New Roman" w:cs="Calibri"/>
          <w:b/>
          <w:color w:val="000000"/>
          <w:szCs w:val="19"/>
          <w:lang w:eastAsia="pl-PL"/>
        </w:rPr>
        <w:t>budowlanym</w:t>
      </w:r>
      <w:r w:rsidR="005227E2">
        <w:rPr>
          <w:rFonts w:cstheme="minorBidi"/>
          <w:b/>
          <w:szCs w:val="19"/>
          <w:shd w:val="clear" w:color="auto" w:fill="FFFFFF"/>
        </w:rPr>
        <w:t xml:space="preserve"> w </w:t>
      </w:r>
      <w:r w:rsidRPr="00981973">
        <w:rPr>
          <w:rFonts w:cstheme="minorBidi"/>
          <w:b/>
          <w:szCs w:val="19"/>
          <w:shd w:val="clear" w:color="auto" w:fill="FFFFFF"/>
        </w:rPr>
        <w:t>marcu 2020 r. (analogiczny okres roku poprzedniego = 100)</w:t>
      </w:r>
    </w:p>
    <w:p w:rsidR="00981973" w:rsidRDefault="00981973" w:rsidP="00981973">
      <w:pPr>
        <w:spacing w:before="120" w:after="120"/>
        <w:jc w:val="center"/>
        <w:rPr>
          <w:rFonts w:cstheme="minorBidi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65426F6" wp14:editId="1A523C59">
            <wp:extent cx="5446395" cy="3269411"/>
            <wp:effectExtent l="0" t="0" r="1905" b="762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227E2" w:rsidRDefault="007402C6" w:rsidP="007402C6">
      <w:pPr>
        <w:spacing w:before="120" w:after="120" w:line="240" w:lineRule="exact"/>
        <w:jc w:val="both"/>
        <w:rPr>
          <w:rFonts w:cstheme="minorBidi"/>
          <w:szCs w:val="19"/>
          <w:shd w:val="clear" w:color="auto" w:fill="FFFFFF"/>
        </w:rPr>
      </w:pPr>
      <w:r w:rsidRPr="007402C6">
        <w:rPr>
          <w:rFonts w:cstheme="minorBidi"/>
          <w:szCs w:val="19"/>
          <w:shd w:val="clear" w:color="auto" w:fill="FFFFFF"/>
        </w:rPr>
        <w:t>Największą dynamiką (w odniesieniu do marca 2019 r.) liczby mieszkań, na których budowę wydano pozwolenia lub dokonano zgłoszenia z projektem budowlanym charakteryzowały się województwa: podlaskie (</w:t>
      </w:r>
      <w:r w:rsidR="008D4FA1">
        <w:rPr>
          <w:rFonts w:cstheme="minorBidi"/>
          <w:szCs w:val="19"/>
          <w:shd w:val="clear" w:color="auto" w:fill="FFFFFF"/>
        </w:rPr>
        <w:t xml:space="preserve">o </w:t>
      </w:r>
      <w:r w:rsidRPr="007402C6">
        <w:rPr>
          <w:rFonts w:cstheme="minorBidi"/>
          <w:szCs w:val="19"/>
          <w:shd w:val="clear" w:color="auto" w:fill="FFFFFF"/>
        </w:rPr>
        <w:t>73,1%), lubuskie (</w:t>
      </w:r>
      <w:r w:rsidR="008D4FA1">
        <w:rPr>
          <w:rFonts w:cstheme="minorBidi"/>
          <w:szCs w:val="19"/>
          <w:shd w:val="clear" w:color="auto" w:fill="FFFFFF"/>
        </w:rPr>
        <w:t>o 54,1%) i </w:t>
      </w:r>
      <w:r w:rsidRPr="007402C6">
        <w:rPr>
          <w:rFonts w:cstheme="minorBidi"/>
          <w:szCs w:val="19"/>
          <w:shd w:val="clear" w:color="auto" w:fill="FFFFFF"/>
        </w:rPr>
        <w:t>podkarpackie (</w:t>
      </w:r>
      <w:r w:rsidR="008D4FA1">
        <w:rPr>
          <w:rFonts w:cstheme="minorBidi"/>
          <w:szCs w:val="19"/>
          <w:shd w:val="clear" w:color="auto" w:fill="FFFFFF"/>
        </w:rPr>
        <w:t xml:space="preserve">o </w:t>
      </w:r>
      <w:r w:rsidRPr="007402C6">
        <w:rPr>
          <w:rFonts w:cstheme="minorBidi"/>
          <w:szCs w:val="19"/>
          <w:shd w:val="clear" w:color="auto" w:fill="FFFFFF"/>
        </w:rPr>
        <w:t>42,0%), zaś największy spadek odnotowano w województwach opolskim i</w:t>
      </w:r>
      <w:r w:rsidR="008D4FA1">
        <w:rPr>
          <w:rFonts w:cstheme="minorBidi"/>
          <w:szCs w:val="19"/>
          <w:shd w:val="clear" w:color="auto" w:fill="FFFFFF"/>
        </w:rPr>
        <w:t xml:space="preserve"> łódzkim (odpowiednio o 25,6% i </w:t>
      </w:r>
      <w:r w:rsidRPr="007402C6">
        <w:rPr>
          <w:rFonts w:cstheme="minorBidi"/>
          <w:szCs w:val="19"/>
          <w:shd w:val="clear" w:color="auto" w:fill="FFFFFF"/>
        </w:rPr>
        <w:t>20,7%).</w:t>
      </w:r>
    </w:p>
    <w:p w:rsidR="005227E2" w:rsidRDefault="005227E2" w:rsidP="005227E2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894D19" w:rsidRPr="007402C6" w:rsidRDefault="00894D19" w:rsidP="00894D19">
      <w:pPr>
        <w:spacing w:before="120" w:after="120" w:line="240" w:lineRule="exact"/>
        <w:ind w:left="709" w:hanging="709"/>
        <w:jc w:val="both"/>
        <w:rPr>
          <w:rFonts w:cstheme="minorBidi"/>
          <w:szCs w:val="19"/>
          <w:shd w:val="clear" w:color="auto" w:fill="FFFFFF"/>
        </w:rPr>
      </w:pPr>
      <w:r>
        <w:rPr>
          <w:rFonts w:cstheme="minorBidi"/>
          <w:szCs w:val="19"/>
          <w:shd w:val="clear" w:color="auto" w:fill="FFFFFF"/>
        </w:rPr>
        <w:lastRenderedPageBreak/>
        <w:t xml:space="preserve">Wykres </w:t>
      </w:r>
      <w:r w:rsidR="00137E4A">
        <w:rPr>
          <w:rFonts w:cstheme="minorBidi"/>
          <w:szCs w:val="19"/>
          <w:shd w:val="clear" w:color="auto" w:fill="FFFFFF"/>
        </w:rPr>
        <w:t>6</w:t>
      </w:r>
      <w:r w:rsidR="003B3729">
        <w:rPr>
          <w:rFonts w:cstheme="minorBidi"/>
          <w:szCs w:val="19"/>
          <w:shd w:val="clear" w:color="auto" w:fill="FFFFFF"/>
        </w:rPr>
        <w:t xml:space="preserve">. </w:t>
      </w:r>
      <w:r>
        <w:rPr>
          <w:rFonts w:cstheme="minorBidi"/>
          <w:b/>
          <w:szCs w:val="19"/>
          <w:shd w:val="clear" w:color="auto" w:fill="FFFFFF"/>
        </w:rPr>
        <w:t xml:space="preserve">Liczba </w:t>
      </w:r>
      <w:r w:rsidRPr="00894D19">
        <w:rPr>
          <w:rFonts w:eastAsia="Times New Roman" w:cs="Calibri"/>
          <w:b/>
          <w:color w:val="000000"/>
          <w:szCs w:val="19"/>
          <w:lang w:eastAsia="pl-PL"/>
        </w:rPr>
        <w:t>mieszkań, których budowę rozpoczęto</w:t>
      </w:r>
      <w:r w:rsidRPr="00894D19">
        <w:rPr>
          <w:rFonts w:eastAsia="Times New Roman" w:cs="Calibri"/>
          <w:b/>
          <w:color w:val="000000"/>
          <w:szCs w:val="19"/>
          <w:shd w:val="clear" w:color="auto" w:fill="FFFFFF"/>
          <w:lang w:eastAsia="pl-PL"/>
        </w:rPr>
        <w:t xml:space="preserve"> </w:t>
      </w:r>
      <w:r w:rsidRPr="00981973">
        <w:rPr>
          <w:rFonts w:cstheme="minorBidi"/>
          <w:b/>
          <w:szCs w:val="19"/>
          <w:shd w:val="clear" w:color="auto" w:fill="FFFFFF"/>
        </w:rPr>
        <w:t>w marcu 2020 r. (analogiczny okres roku poprzedniego = 100)</w:t>
      </w:r>
    </w:p>
    <w:p w:rsidR="008B4723" w:rsidRDefault="00894D19" w:rsidP="00894D19">
      <w:pPr>
        <w:spacing w:before="120" w:after="120"/>
        <w:jc w:val="center"/>
        <w:rPr>
          <w:rFonts w:cstheme="minorBidi"/>
          <w:b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DC29B6C" wp14:editId="41D85A1B">
            <wp:extent cx="4458335" cy="2863970"/>
            <wp:effectExtent l="0" t="0" r="0" b="0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402C6" w:rsidRPr="007402C6" w:rsidRDefault="007402C6" w:rsidP="007402C6">
      <w:pPr>
        <w:spacing w:before="120" w:after="120" w:line="240" w:lineRule="exact"/>
        <w:jc w:val="both"/>
        <w:rPr>
          <w:rFonts w:cstheme="minorBidi"/>
          <w:szCs w:val="19"/>
        </w:rPr>
      </w:pPr>
      <w:r w:rsidRPr="007402C6">
        <w:rPr>
          <w:rFonts w:cstheme="minorBidi"/>
          <w:noProof/>
          <w:szCs w:val="19"/>
          <w:lang w:eastAsia="pl-PL"/>
        </w:rPr>
        <w:t xml:space="preserve">W marcu 2020 r. na Podkarpaciu rozpoczęto budowę 914 mieszkań tj. o 8,9% więcej niż przed rokiem (w Polsce </w:t>
      </w:r>
      <w:r w:rsidRPr="007402C6">
        <w:rPr>
          <w:rFonts w:cstheme="minorBidi"/>
          <w:szCs w:val="19"/>
          <w:shd w:val="clear" w:color="auto" w:fill="FFFFFF"/>
        </w:rPr>
        <w:t>o 20,9% mniej niż w analogicznym okresie roku 2019). Inwestorzy</w:t>
      </w:r>
      <w:r w:rsidRPr="007402C6">
        <w:rPr>
          <w:rFonts w:cstheme="minorBidi"/>
          <w:b/>
          <w:szCs w:val="19"/>
          <w:shd w:val="clear" w:color="auto" w:fill="FFFFFF"/>
        </w:rPr>
        <w:t xml:space="preserve"> indywidualni</w:t>
      </w:r>
      <w:r w:rsidRPr="007402C6">
        <w:rPr>
          <w:rFonts w:cstheme="minorBidi"/>
          <w:szCs w:val="19"/>
          <w:shd w:val="clear" w:color="auto" w:fill="FFFFFF"/>
        </w:rPr>
        <w:t xml:space="preserve"> rozpoczęli budowę 507 mieszkań tj. o 23,3% mniej niż w marcu 2019 r. (w Polsce odnotowano spadek o 24,9%). </w:t>
      </w:r>
      <w:r w:rsidRPr="007402C6">
        <w:rPr>
          <w:rFonts w:cstheme="minorBidi"/>
          <w:b/>
          <w:szCs w:val="19"/>
          <w:shd w:val="clear" w:color="auto" w:fill="FFFFFF"/>
        </w:rPr>
        <w:t>Deweloperzy</w:t>
      </w:r>
      <w:r w:rsidRPr="007402C6">
        <w:rPr>
          <w:rFonts w:cstheme="minorBidi"/>
          <w:szCs w:val="19"/>
          <w:shd w:val="clear" w:color="auto" w:fill="FFFFFF"/>
        </w:rPr>
        <w:t xml:space="preserve"> rozpoczęli na Podkarpaciu budowę 407 mieszkań, czyli ponad 2-krotnie więcej niż przed rokiem (w kraju o 15,3% mniej). W marcu br. w </w:t>
      </w:r>
      <w:r w:rsidRPr="007402C6">
        <w:rPr>
          <w:rFonts w:cstheme="minorBidi"/>
          <w:b/>
          <w:szCs w:val="19"/>
          <w:shd w:val="clear" w:color="auto" w:fill="FFFFFF"/>
        </w:rPr>
        <w:t xml:space="preserve">pozostałych formach </w:t>
      </w:r>
      <w:r w:rsidRPr="007402C6">
        <w:rPr>
          <w:rFonts w:cstheme="minorBidi"/>
          <w:szCs w:val="19"/>
          <w:shd w:val="clear" w:color="auto" w:fill="FFFFFF"/>
        </w:rPr>
        <w:t>budownictwa</w:t>
      </w:r>
      <w:r w:rsidRPr="007402C6">
        <w:rPr>
          <w:rFonts w:cstheme="minorBidi"/>
          <w:b/>
          <w:szCs w:val="19"/>
          <w:shd w:val="clear" w:color="auto" w:fill="FFFFFF"/>
        </w:rPr>
        <w:t xml:space="preserve"> </w:t>
      </w:r>
      <w:r w:rsidRPr="007402C6">
        <w:rPr>
          <w:rFonts w:cstheme="minorBidi"/>
          <w:szCs w:val="19"/>
          <w:shd w:val="clear" w:color="auto" w:fill="FFFFFF"/>
        </w:rPr>
        <w:t>na Podkarpaciu nie odnotowano efektów.</w:t>
      </w:r>
    </w:p>
    <w:p w:rsidR="00B308A8" w:rsidRDefault="007402C6" w:rsidP="007402C6">
      <w:pPr>
        <w:spacing w:before="120" w:after="120" w:line="240" w:lineRule="exact"/>
        <w:jc w:val="both"/>
        <w:rPr>
          <w:rFonts w:cstheme="minorBidi"/>
          <w:szCs w:val="19"/>
          <w:shd w:val="clear" w:color="auto" w:fill="FFFFFF"/>
        </w:rPr>
      </w:pPr>
      <w:r w:rsidRPr="007402C6">
        <w:rPr>
          <w:rFonts w:cstheme="minorBidi"/>
          <w:szCs w:val="19"/>
          <w:shd w:val="clear" w:color="auto" w:fill="FFFFFF"/>
        </w:rPr>
        <w:t>Największą dynamikę (w odniesieniu do marca 2019 r.) mieszkań, których budowę rozpoczęto w marcu 2020 r. odnotowano w województwach: zachodniopomorskim (ponad 2-krotnią), łódzkim o 42,0%, kujawsko-pomorskim (</w:t>
      </w:r>
      <w:r w:rsidR="008D4FA1">
        <w:rPr>
          <w:rFonts w:cstheme="minorBidi"/>
          <w:szCs w:val="19"/>
          <w:shd w:val="clear" w:color="auto" w:fill="FFFFFF"/>
        </w:rPr>
        <w:t xml:space="preserve">o </w:t>
      </w:r>
      <w:r w:rsidRPr="007402C6">
        <w:rPr>
          <w:rFonts w:cstheme="minorBidi"/>
          <w:szCs w:val="19"/>
          <w:shd w:val="clear" w:color="auto" w:fill="FFFFFF"/>
        </w:rPr>
        <w:t>10,8%) i podkarpackim (o 8,9%). W pozostałych województwach odnotowano spadek, przy czym największy</w:t>
      </w:r>
      <w:r w:rsidR="008D4FA1">
        <w:rPr>
          <w:rFonts w:cstheme="minorBidi"/>
          <w:szCs w:val="19"/>
          <w:shd w:val="clear" w:color="auto" w:fill="FFFFFF"/>
        </w:rPr>
        <w:t xml:space="preserve"> (o ponad 50%) odnotowano w </w:t>
      </w:r>
      <w:r w:rsidRPr="007402C6">
        <w:rPr>
          <w:rFonts w:cstheme="minorBidi"/>
          <w:szCs w:val="19"/>
          <w:shd w:val="clear" w:color="auto" w:fill="FFFFFF"/>
        </w:rPr>
        <w:t xml:space="preserve">województwach: lubuskim, pomorskim i warmińsko-mazurskim. </w:t>
      </w:r>
    </w:p>
    <w:p w:rsidR="005227E2" w:rsidRDefault="005227E2" w:rsidP="005227E2">
      <w:pPr>
        <w:pStyle w:val="Nagwek1"/>
        <w:tabs>
          <w:tab w:val="left" w:pos="4643"/>
        </w:tabs>
        <w:spacing w:before="120" w:after="120"/>
      </w:pPr>
    </w:p>
    <w:p w:rsidR="005227E2" w:rsidRPr="006B3FC8" w:rsidRDefault="005227E2" w:rsidP="005227E2">
      <w:pPr>
        <w:pStyle w:val="Nagwek1"/>
        <w:tabs>
          <w:tab w:val="left" w:pos="4643"/>
        </w:tabs>
        <w:spacing w:before="120" w:after="120"/>
      </w:pPr>
      <w:r w:rsidRPr="006B3FC8">
        <w:t>Rynek pracy</w:t>
      </w:r>
    </w:p>
    <w:p w:rsidR="005227E2" w:rsidRPr="0057121B" w:rsidRDefault="005227E2" w:rsidP="005227E2">
      <w:pPr>
        <w:spacing w:before="120" w:after="120" w:line="240" w:lineRule="exact"/>
        <w:jc w:val="both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Pomimo trwającej pandemii na rynku pracy nie widać znaczących zmian. W końcu marca 2020 r.</w:t>
      </w:r>
      <w:r w:rsidRPr="00C0239D">
        <w:rPr>
          <w:rFonts w:eastAsia="Times New Roman"/>
          <w:szCs w:val="19"/>
          <w:lang w:eastAsia="pl-PL"/>
        </w:rPr>
        <w:t xml:space="preserve"> </w:t>
      </w:r>
      <w:r w:rsidRPr="00FE62EF">
        <w:rPr>
          <w:rFonts w:eastAsia="Times New Roman"/>
          <w:szCs w:val="19"/>
          <w:lang w:eastAsia="pl-PL"/>
        </w:rPr>
        <w:t>liczba bezrobotnych zarejestrowanych w urzędach pracy</w:t>
      </w:r>
      <w:r w:rsidRPr="00C0239D">
        <w:rPr>
          <w:rFonts w:eastAsia="Times New Roman"/>
          <w:szCs w:val="19"/>
          <w:lang w:eastAsia="pl-PL"/>
        </w:rPr>
        <w:t xml:space="preserve"> </w:t>
      </w:r>
      <w:r w:rsidRPr="002F6981">
        <w:rPr>
          <w:rFonts w:eastAsia="Times New Roman"/>
          <w:szCs w:val="19"/>
          <w:lang w:eastAsia="pl-PL"/>
        </w:rPr>
        <w:t>wyniosła 78934</w:t>
      </w:r>
      <w:r>
        <w:rPr>
          <w:rFonts w:eastAsia="Times New Roman"/>
          <w:szCs w:val="19"/>
          <w:lang w:eastAsia="pl-PL"/>
        </w:rPr>
        <w:t xml:space="preserve"> osoby</w:t>
      </w:r>
      <w:r w:rsidRPr="002F6981">
        <w:rPr>
          <w:rFonts w:eastAsia="Times New Roman"/>
          <w:szCs w:val="19"/>
          <w:lang w:eastAsia="pl-PL"/>
        </w:rPr>
        <w:t xml:space="preserve"> i </w:t>
      </w:r>
      <w:r w:rsidRPr="0014014B">
        <w:rPr>
          <w:rFonts w:eastAsia="Times New Roman"/>
          <w:szCs w:val="19"/>
          <w:lang w:eastAsia="pl-PL"/>
        </w:rPr>
        <w:t xml:space="preserve">była niższa o 424 osoby niż w poprzednim </w:t>
      </w:r>
      <w:r w:rsidRPr="00655329">
        <w:rPr>
          <w:rFonts w:eastAsia="Times New Roman"/>
          <w:szCs w:val="19"/>
          <w:lang w:eastAsia="pl-PL"/>
        </w:rPr>
        <w:t>miesiącu i o 4317</w:t>
      </w:r>
      <w:r>
        <w:rPr>
          <w:rFonts w:eastAsia="Times New Roman"/>
          <w:szCs w:val="19"/>
          <w:lang w:eastAsia="pl-PL"/>
        </w:rPr>
        <w:t xml:space="preserve"> osób niższa </w:t>
      </w:r>
      <w:r w:rsidRPr="0057121B">
        <w:rPr>
          <w:rFonts w:eastAsia="Times New Roman"/>
          <w:szCs w:val="19"/>
          <w:lang w:eastAsia="pl-PL"/>
        </w:rPr>
        <w:t>niż w marcu ub. roku. Kobiety stanowiły 52,5% ogółu zarejestrowanych bezrobotnych (przed rokiem 53,6%).</w:t>
      </w:r>
    </w:p>
    <w:p w:rsidR="005227E2" w:rsidRPr="00FE62EF" w:rsidRDefault="005227E2" w:rsidP="005227E2">
      <w:pPr>
        <w:spacing w:before="240" w:after="120" w:line="240" w:lineRule="exact"/>
        <w:contextualSpacing/>
        <w:jc w:val="both"/>
        <w:rPr>
          <w:rFonts w:cs="Arial"/>
          <w:szCs w:val="19"/>
          <w:lang w:eastAsia="pl-PL"/>
        </w:rPr>
      </w:pPr>
      <w:r>
        <w:rPr>
          <w:rFonts w:cs="Arial"/>
          <w:szCs w:val="19"/>
          <w:lang w:eastAsia="pl-PL"/>
        </w:rPr>
        <w:t xml:space="preserve">Tabl. 1. </w:t>
      </w:r>
      <w:r w:rsidRPr="00FE62EF">
        <w:rPr>
          <w:rFonts w:cs="Arial"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5227E2" w:rsidRPr="00C7458F" w:rsidTr="005227E2">
        <w:tc>
          <w:tcPr>
            <w:tcW w:w="5353" w:type="dxa"/>
            <w:vMerge w:val="restart"/>
            <w:vAlign w:val="center"/>
          </w:tcPr>
          <w:p w:rsidR="005227E2" w:rsidRPr="00C7458F" w:rsidRDefault="005227E2" w:rsidP="005227E2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458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:rsidR="005227E2" w:rsidRPr="00C7458F" w:rsidRDefault="005227E2" w:rsidP="005227E2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458F">
              <w:rPr>
                <w:rFonts w:eastAsia="Times New Roman" w:cs="Arial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425" w:type="dxa"/>
            <w:gridSpan w:val="2"/>
            <w:vAlign w:val="center"/>
          </w:tcPr>
          <w:p w:rsidR="005227E2" w:rsidRPr="00C7458F" w:rsidRDefault="005227E2" w:rsidP="005227E2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458F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</w:tr>
      <w:tr w:rsidR="005227E2" w:rsidRPr="00C7458F" w:rsidTr="005227E2">
        <w:trPr>
          <w:trHeight w:val="153"/>
        </w:trPr>
        <w:tc>
          <w:tcPr>
            <w:tcW w:w="5353" w:type="dxa"/>
            <w:vMerge/>
            <w:vAlign w:val="center"/>
          </w:tcPr>
          <w:p w:rsidR="005227E2" w:rsidRPr="00C7458F" w:rsidRDefault="005227E2" w:rsidP="005227E2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center"/>
          </w:tcPr>
          <w:p w:rsidR="005227E2" w:rsidRPr="00C7458F" w:rsidRDefault="005227E2" w:rsidP="005227E2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458F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2" w:type="dxa"/>
            <w:vAlign w:val="center"/>
          </w:tcPr>
          <w:p w:rsidR="005227E2" w:rsidRPr="00C7458F" w:rsidRDefault="005227E2" w:rsidP="005227E2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458F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3" w:type="dxa"/>
            <w:vAlign w:val="center"/>
          </w:tcPr>
          <w:p w:rsidR="005227E2" w:rsidRPr="00C7458F" w:rsidRDefault="005227E2" w:rsidP="005227E2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458F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</w:tr>
      <w:tr w:rsidR="005227E2" w:rsidRPr="00C7458F" w:rsidTr="005B167A">
        <w:trPr>
          <w:trHeight w:val="284"/>
        </w:trPr>
        <w:tc>
          <w:tcPr>
            <w:tcW w:w="5353" w:type="dxa"/>
            <w:vAlign w:val="bottom"/>
          </w:tcPr>
          <w:p w:rsidR="005227E2" w:rsidRPr="00C7458F" w:rsidRDefault="005227E2" w:rsidP="005227E2">
            <w:pPr>
              <w:tabs>
                <w:tab w:val="left" w:leader="dot" w:pos="5029"/>
              </w:tabs>
              <w:spacing w:before="60" w:after="6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458F">
              <w:rPr>
                <w:rFonts w:eastAsia="Times New Roman" w:cs="Arial"/>
                <w:sz w:val="16"/>
                <w:szCs w:val="16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vAlign w:val="bottom"/>
          </w:tcPr>
          <w:p w:rsidR="005227E2" w:rsidRPr="00C60B74" w:rsidRDefault="005227E2" w:rsidP="005227E2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0B74">
              <w:rPr>
                <w:rFonts w:eastAsia="Times New Roman" w:cs="Arial"/>
                <w:sz w:val="16"/>
                <w:szCs w:val="16"/>
                <w:lang w:eastAsia="pl-PL"/>
              </w:rPr>
              <w:t>83,3</w:t>
            </w:r>
          </w:p>
        </w:tc>
        <w:tc>
          <w:tcPr>
            <w:tcW w:w="1712" w:type="dxa"/>
            <w:vAlign w:val="bottom"/>
          </w:tcPr>
          <w:p w:rsidR="005227E2" w:rsidRPr="00C7458F" w:rsidRDefault="005227E2" w:rsidP="005227E2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458F">
              <w:rPr>
                <w:rFonts w:eastAsia="Times New Roman" w:cs="Arial"/>
                <w:sz w:val="16"/>
                <w:szCs w:val="16"/>
                <w:lang w:eastAsia="pl-PL"/>
              </w:rPr>
              <w:t>79,4</w:t>
            </w:r>
          </w:p>
        </w:tc>
        <w:tc>
          <w:tcPr>
            <w:tcW w:w="1713" w:type="dxa"/>
            <w:vAlign w:val="bottom"/>
          </w:tcPr>
          <w:p w:rsidR="005227E2" w:rsidRPr="00645E48" w:rsidRDefault="005227E2" w:rsidP="005227E2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E48">
              <w:rPr>
                <w:rFonts w:eastAsia="Times New Roman" w:cs="Arial"/>
                <w:sz w:val="16"/>
                <w:szCs w:val="16"/>
                <w:lang w:eastAsia="pl-PL"/>
              </w:rPr>
              <w:t>78,9</w:t>
            </w:r>
          </w:p>
        </w:tc>
      </w:tr>
      <w:tr w:rsidR="005227E2" w:rsidRPr="00C7458F" w:rsidTr="005B167A">
        <w:trPr>
          <w:trHeight w:val="284"/>
        </w:trPr>
        <w:tc>
          <w:tcPr>
            <w:tcW w:w="5353" w:type="dxa"/>
            <w:vAlign w:val="bottom"/>
          </w:tcPr>
          <w:p w:rsidR="005227E2" w:rsidRPr="00C7458F" w:rsidRDefault="005227E2" w:rsidP="005227E2">
            <w:pPr>
              <w:tabs>
                <w:tab w:val="left" w:leader="dot" w:pos="5029"/>
              </w:tabs>
              <w:spacing w:before="60" w:after="6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458F">
              <w:rPr>
                <w:rFonts w:eastAsia="Times New Roman" w:cs="Arial"/>
                <w:sz w:val="16"/>
                <w:szCs w:val="16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vAlign w:val="bottom"/>
          </w:tcPr>
          <w:p w:rsidR="005227E2" w:rsidRPr="00C60B74" w:rsidRDefault="005227E2" w:rsidP="005227E2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0B74">
              <w:rPr>
                <w:rFonts w:eastAsia="Times New Roman" w:cs="Arial"/>
                <w:sz w:val="16"/>
                <w:szCs w:val="16"/>
                <w:lang w:eastAsia="pl-PL"/>
              </w:rPr>
              <w:t>8,8</w:t>
            </w:r>
          </w:p>
        </w:tc>
        <w:tc>
          <w:tcPr>
            <w:tcW w:w="1712" w:type="dxa"/>
            <w:vAlign w:val="bottom"/>
          </w:tcPr>
          <w:p w:rsidR="005227E2" w:rsidRPr="00C7458F" w:rsidRDefault="005227E2" w:rsidP="005227E2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458F"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  <w:tc>
          <w:tcPr>
            <w:tcW w:w="1713" w:type="dxa"/>
            <w:vAlign w:val="bottom"/>
          </w:tcPr>
          <w:p w:rsidR="005227E2" w:rsidRPr="00645E48" w:rsidRDefault="005227E2" w:rsidP="005227E2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E48">
              <w:rPr>
                <w:rFonts w:eastAsia="Times New Roman" w:cs="Arial"/>
                <w:sz w:val="16"/>
                <w:szCs w:val="16"/>
                <w:lang w:eastAsia="pl-PL"/>
              </w:rPr>
              <w:t>7,7</w:t>
            </w:r>
          </w:p>
        </w:tc>
      </w:tr>
      <w:tr w:rsidR="005227E2" w:rsidRPr="00C7458F" w:rsidTr="005B167A">
        <w:trPr>
          <w:trHeight w:val="284"/>
        </w:trPr>
        <w:tc>
          <w:tcPr>
            <w:tcW w:w="5353" w:type="dxa"/>
            <w:vAlign w:val="bottom"/>
          </w:tcPr>
          <w:p w:rsidR="005227E2" w:rsidRPr="00C7458F" w:rsidRDefault="005227E2" w:rsidP="005227E2">
            <w:pPr>
              <w:tabs>
                <w:tab w:val="left" w:leader="dot" w:pos="5029"/>
              </w:tabs>
              <w:spacing w:before="60" w:after="6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458F">
              <w:rPr>
                <w:rFonts w:eastAsia="Times New Roman" w:cs="Arial"/>
                <w:sz w:val="16"/>
                <w:szCs w:val="16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vAlign w:val="bottom"/>
          </w:tcPr>
          <w:p w:rsidR="005227E2" w:rsidRPr="00C60B74" w:rsidRDefault="005227E2" w:rsidP="005227E2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0B74">
              <w:rPr>
                <w:rFonts w:eastAsia="Times New Roman" w:cs="Arial"/>
                <w:sz w:val="16"/>
                <w:szCs w:val="16"/>
                <w:lang w:eastAsia="pl-PL"/>
              </w:rPr>
              <w:t>11,7</w:t>
            </w:r>
          </w:p>
        </w:tc>
        <w:tc>
          <w:tcPr>
            <w:tcW w:w="1712" w:type="dxa"/>
            <w:vAlign w:val="bottom"/>
          </w:tcPr>
          <w:p w:rsidR="005227E2" w:rsidRPr="00C7458F" w:rsidRDefault="005227E2" w:rsidP="005227E2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458F"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  <w:tc>
          <w:tcPr>
            <w:tcW w:w="1713" w:type="dxa"/>
            <w:vAlign w:val="bottom"/>
          </w:tcPr>
          <w:p w:rsidR="005227E2" w:rsidRPr="00645E48" w:rsidRDefault="005227E2" w:rsidP="005227E2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E48">
              <w:rPr>
                <w:rFonts w:eastAsia="Times New Roman" w:cs="Arial"/>
                <w:sz w:val="16"/>
                <w:szCs w:val="16"/>
                <w:lang w:eastAsia="pl-PL"/>
              </w:rPr>
              <w:t>8,1</w:t>
            </w:r>
          </w:p>
        </w:tc>
      </w:tr>
      <w:tr w:rsidR="005227E2" w:rsidRPr="00C7458F" w:rsidTr="005B167A">
        <w:trPr>
          <w:trHeight w:val="284"/>
        </w:trPr>
        <w:tc>
          <w:tcPr>
            <w:tcW w:w="5353" w:type="dxa"/>
            <w:vAlign w:val="bottom"/>
          </w:tcPr>
          <w:p w:rsidR="005227E2" w:rsidRPr="00C7458F" w:rsidRDefault="005227E2" w:rsidP="005227E2">
            <w:pPr>
              <w:tabs>
                <w:tab w:val="left" w:leader="dot" w:pos="5029"/>
              </w:tabs>
              <w:spacing w:before="60" w:after="6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C7458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vAlign w:val="bottom"/>
          </w:tcPr>
          <w:p w:rsidR="005227E2" w:rsidRPr="00C60B74" w:rsidRDefault="005227E2" w:rsidP="005227E2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60B74">
              <w:rPr>
                <w:rFonts w:eastAsia="Times New Roman" w:cs="Arial"/>
                <w:sz w:val="16"/>
                <w:szCs w:val="16"/>
                <w:lang w:eastAsia="pl-PL"/>
              </w:rPr>
              <w:t>8,7</w:t>
            </w:r>
          </w:p>
        </w:tc>
        <w:tc>
          <w:tcPr>
            <w:tcW w:w="1712" w:type="dxa"/>
            <w:vAlign w:val="bottom"/>
          </w:tcPr>
          <w:p w:rsidR="005227E2" w:rsidRPr="00C7458F" w:rsidRDefault="005227E2" w:rsidP="005227E2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7458F">
              <w:rPr>
                <w:rFonts w:eastAsia="Times New Roman" w:cs="Arial"/>
                <w:sz w:val="16"/>
                <w:szCs w:val="16"/>
                <w:lang w:eastAsia="pl-PL"/>
              </w:rPr>
              <w:t>8,3</w:t>
            </w:r>
          </w:p>
        </w:tc>
        <w:tc>
          <w:tcPr>
            <w:tcW w:w="1713" w:type="dxa"/>
            <w:vAlign w:val="bottom"/>
          </w:tcPr>
          <w:p w:rsidR="005227E2" w:rsidRPr="00645E48" w:rsidRDefault="005227E2" w:rsidP="005227E2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E48">
              <w:rPr>
                <w:rFonts w:eastAsia="Times New Roman" w:cs="Arial"/>
                <w:sz w:val="16"/>
                <w:szCs w:val="16"/>
                <w:lang w:eastAsia="pl-PL"/>
              </w:rPr>
              <w:t>8,2</w:t>
            </w:r>
          </w:p>
        </w:tc>
      </w:tr>
    </w:tbl>
    <w:p w:rsidR="005227E2" w:rsidRPr="00A4718B" w:rsidRDefault="005227E2" w:rsidP="005227E2">
      <w:pPr>
        <w:spacing w:before="120" w:after="120" w:line="240" w:lineRule="exact"/>
        <w:jc w:val="both"/>
        <w:rPr>
          <w:rFonts w:eastAsia="Times New Roman"/>
          <w:szCs w:val="19"/>
          <w:lang w:eastAsia="pl-PL"/>
        </w:rPr>
      </w:pPr>
      <w:r w:rsidRPr="00A4718B">
        <w:rPr>
          <w:rFonts w:eastAsia="Times New Roman"/>
          <w:szCs w:val="19"/>
          <w:lang w:eastAsia="pl-PL"/>
        </w:rPr>
        <w:t>Stopa bezrobocia rejestrowanego w końcu</w:t>
      </w:r>
      <w:r>
        <w:rPr>
          <w:rFonts w:eastAsia="Times New Roman"/>
          <w:szCs w:val="19"/>
          <w:lang w:eastAsia="pl-PL"/>
        </w:rPr>
        <w:t xml:space="preserve"> marca 2020 r.</w:t>
      </w:r>
      <w:r w:rsidRPr="00157AE5">
        <w:rPr>
          <w:rFonts w:eastAsia="Times New Roman"/>
          <w:szCs w:val="19"/>
          <w:lang w:eastAsia="pl-PL"/>
        </w:rPr>
        <w:t xml:space="preserve"> wyniosła 8,2% i była niższa o 0,1 p.proc. w odniesieniu do poprzedniego </w:t>
      </w:r>
      <w:r w:rsidRPr="00FA3FAE">
        <w:rPr>
          <w:rFonts w:eastAsia="Times New Roman"/>
          <w:szCs w:val="19"/>
          <w:lang w:eastAsia="pl-PL"/>
        </w:rPr>
        <w:t>miesiąca i o 0,5 p.proc</w:t>
      </w:r>
      <w:r>
        <w:rPr>
          <w:rFonts w:eastAsia="Times New Roman"/>
          <w:szCs w:val="19"/>
          <w:lang w:eastAsia="pl-PL"/>
        </w:rPr>
        <w:t>. niższa w odniesieniu do marca</w:t>
      </w:r>
      <w:r w:rsidRPr="00FA3FAE">
        <w:rPr>
          <w:rFonts w:eastAsia="Times New Roman"/>
          <w:szCs w:val="19"/>
          <w:lang w:eastAsia="pl-PL"/>
        </w:rPr>
        <w:t xml:space="preserve"> ub. roku. W rankingu województw, pod względem wysokości </w:t>
      </w:r>
      <w:r w:rsidRPr="00A4718B">
        <w:rPr>
          <w:rFonts w:eastAsia="Times New Roman"/>
          <w:szCs w:val="19"/>
          <w:lang w:eastAsia="pl-PL"/>
        </w:rPr>
        <w:t>stopy bezrobocia</w:t>
      </w:r>
      <w:r>
        <w:rPr>
          <w:rFonts w:eastAsia="Times New Roman"/>
          <w:szCs w:val="19"/>
          <w:lang w:eastAsia="pl-PL"/>
        </w:rPr>
        <w:t>,</w:t>
      </w:r>
      <w:r w:rsidRPr="00FA3FAE">
        <w:rPr>
          <w:rFonts w:eastAsia="Times New Roman"/>
          <w:szCs w:val="19"/>
          <w:lang w:eastAsia="pl-PL"/>
        </w:rPr>
        <w:t xml:space="preserve"> woj. podkarpackie</w:t>
      </w:r>
      <w:r w:rsidRPr="00A4718B">
        <w:rPr>
          <w:rFonts w:eastAsia="Times New Roman"/>
          <w:szCs w:val="19"/>
          <w:lang w:eastAsia="pl-PL"/>
        </w:rPr>
        <w:t xml:space="preserve"> plasowało się na piętnastym miejscu (najniższą stopę bezrobocia zanotowano w województwie wielkopolskim – 3,1%, a najwyższą w warmińsko-mazurskim – 9,4%). W kraju stopa bezrobocia wyniosła 5,4%, wobec 5,9% przed rokiem.</w:t>
      </w:r>
    </w:p>
    <w:p w:rsidR="005227E2" w:rsidRPr="00A4718B" w:rsidRDefault="005227E2" w:rsidP="005227E2">
      <w:pPr>
        <w:spacing w:before="120" w:after="120" w:line="240" w:lineRule="exact"/>
        <w:jc w:val="both"/>
        <w:rPr>
          <w:rFonts w:eastAsia="Times New Roman"/>
          <w:szCs w:val="19"/>
          <w:lang w:eastAsia="pl-PL"/>
        </w:rPr>
      </w:pPr>
      <w:r w:rsidRPr="00A4718B">
        <w:rPr>
          <w:rFonts w:eastAsia="Times New Roman"/>
          <w:szCs w:val="19"/>
          <w:lang w:eastAsia="pl-PL"/>
        </w:rPr>
        <w:t xml:space="preserve">W marcu 2020 r. w urzędach pracy zarejestrowano 7,7 tys. osób bezrobotnych, tj. o 9,3% mniej niż przed miesiącem i o 11,8% mniej niż przed rokiem. </w:t>
      </w:r>
      <w:r>
        <w:rPr>
          <w:rFonts w:eastAsia="Times New Roman"/>
          <w:szCs w:val="19"/>
          <w:lang w:eastAsia="pl-PL"/>
        </w:rPr>
        <w:t>Z</w:t>
      </w:r>
      <w:r w:rsidRPr="00A4718B">
        <w:rPr>
          <w:rFonts w:eastAsia="Times New Roman"/>
          <w:szCs w:val="19"/>
          <w:lang w:eastAsia="pl-PL"/>
        </w:rPr>
        <w:t xml:space="preserve"> ewidencji bezrobotnych</w:t>
      </w:r>
      <w:r>
        <w:rPr>
          <w:rFonts w:eastAsia="Times New Roman"/>
          <w:szCs w:val="19"/>
          <w:lang w:eastAsia="pl-PL"/>
        </w:rPr>
        <w:t>,</w:t>
      </w:r>
      <w:r w:rsidRPr="00A4718B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</w:t>
      </w:r>
      <w:r w:rsidRPr="00A4718B">
        <w:rPr>
          <w:rFonts w:eastAsia="Times New Roman"/>
          <w:szCs w:val="19"/>
          <w:lang w:eastAsia="pl-PL"/>
        </w:rPr>
        <w:t xml:space="preserve"> marcu br.</w:t>
      </w:r>
      <w:r>
        <w:rPr>
          <w:rFonts w:eastAsia="Times New Roman"/>
          <w:szCs w:val="19"/>
          <w:lang w:eastAsia="pl-PL"/>
        </w:rPr>
        <w:t>,</w:t>
      </w:r>
      <w:r w:rsidRPr="00A4718B">
        <w:rPr>
          <w:rFonts w:eastAsia="Times New Roman"/>
          <w:szCs w:val="19"/>
          <w:lang w:eastAsia="pl-PL"/>
        </w:rPr>
        <w:t xml:space="preserve"> wyrejestrowano 8,1 tys. osób, tj. o 3,9% mniej niż w poprzednim miesiącu i o 30,3% mniej niż w marcu ub. roku. Z tytułu podjęcia pracy (główn</w:t>
      </w:r>
      <w:r>
        <w:rPr>
          <w:rFonts w:eastAsia="Times New Roman"/>
          <w:szCs w:val="19"/>
          <w:lang w:eastAsia="pl-PL"/>
        </w:rPr>
        <w:t>ej przyczyny wyrejestrowania) z </w:t>
      </w:r>
      <w:r w:rsidRPr="00A4718B">
        <w:rPr>
          <w:rFonts w:eastAsia="Times New Roman"/>
          <w:szCs w:val="19"/>
          <w:lang w:eastAsia="pl-PL"/>
        </w:rPr>
        <w:t>rejestru bezrobotnych wyłączono 4,8 tys. osób (przed rokiem 6,1</w:t>
      </w:r>
      <w:r>
        <w:rPr>
          <w:rFonts w:eastAsia="Times New Roman"/>
          <w:szCs w:val="19"/>
          <w:lang w:eastAsia="pl-PL"/>
        </w:rPr>
        <w:t xml:space="preserve"> tys.), a u</w:t>
      </w:r>
      <w:r w:rsidRPr="00A4718B">
        <w:rPr>
          <w:rFonts w:eastAsia="Times New Roman"/>
          <w:szCs w:val="19"/>
          <w:lang w:eastAsia="pl-PL"/>
        </w:rPr>
        <w:t>dział tej kategorii osób w ogólnej liczbie wyrejestrowanych zwiększył się w ujęciu rocznym (o 7,4 p.proc. do 59,2%).</w:t>
      </w:r>
      <w:r>
        <w:rPr>
          <w:rFonts w:eastAsia="Times New Roman"/>
          <w:szCs w:val="19"/>
          <w:lang w:eastAsia="pl-PL"/>
        </w:rPr>
        <w:t xml:space="preserve"> Z</w:t>
      </w:r>
      <w:r w:rsidRPr="00733747">
        <w:rPr>
          <w:rFonts w:eastAsia="Times New Roman"/>
          <w:szCs w:val="19"/>
          <w:lang w:eastAsia="pl-PL"/>
        </w:rPr>
        <w:t xml:space="preserve"> przyczyn dotyczących zakładu pracy</w:t>
      </w:r>
      <w:r>
        <w:rPr>
          <w:rFonts w:eastAsia="Times New Roman"/>
          <w:szCs w:val="19"/>
          <w:lang w:eastAsia="pl-PL"/>
        </w:rPr>
        <w:t>, w</w:t>
      </w:r>
      <w:r w:rsidRPr="00733747">
        <w:rPr>
          <w:rFonts w:eastAsia="Times New Roman"/>
          <w:szCs w:val="19"/>
          <w:lang w:eastAsia="pl-PL"/>
        </w:rPr>
        <w:t xml:space="preserve"> marcu</w:t>
      </w:r>
      <w:r>
        <w:rPr>
          <w:rFonts w:eastAsia="Times New Roman"/>
          <w:szCs w:val="19"/>
          <w:lang w:eastAsia="pl-PL"/>
        </w:rPr>
        <w:t xml:space="preserve"> 2020 r.</w:t>
      </w:r>
      <w:r w:rsidRPr="00733747">
        <w:rPr>
          <w:rFonts w:eastAsia="Times New Roman"/>
          <w:szCs w:val="19"/>
          <w:lang w:eastAsia="pl-PL"/>
        </w:rPr>
        <w:t xml:space="preserve"> zwolniono 379 osób</w:t>
      </w:r>
      <w:r w:rsidRPr="00945286">
        <w:rPr>
          <w:rFonts w:eastAsia="Times New Roman"/>
          <w:szCs w:val="19"/>
          <w:lang w:eastAsia="pl-PL"/>
        </w:rPr>
        <w:t xml:space="preserve">, tj. </w:t>
      </w:r>
      <w:r>
        <w:rPr>
          <w:rFonts w:eastAsia="Times New Roman"/>
          <w:szCs w:val="19"/>
          <w:lang w:eastAsia="pl-PL"/>
        </w:rPr>
        <w:t>o 100 osób</w:t>
      </w:r>
      <w:r w:rsidRPr="00945286">
        <w:rPr>
          <w:rFonts w:eastAsia="Times New Roman"/>
          <w:szCs w:val="19"/>
          <w:lang w:eastAsia="pl-PL"/>
        </w:rPr>
        <w:t xml:space="preserve"> więcej niż przed miesiącem i </w:t>
      </w:r>
      <w:r>
        <w:rPr>
          <w:rFonts w:eastAsia="Times New Roman"/>
          <w:szCs w:val="19"/>
          <w:lang w:eastAsia="pl-PL"/>
        </w:rPr>
        <w:t>o 62 osoby</w:t>
      </w:r>
      <w:r w:rsidRPr="00945286">
        <w:rPr>
          <w:rFonts w:eastAsia="Times New Roman"/>
          <w:szCs w:val="19"/>
          <w:lang w:eastAsia="pl-PL"/>
        </w:rPr>
        <w:t xml:space="preserve"> </w:t>
      </w:r>
      <w:r w:rsidRPr="0001454D">
        <w:rPr>
          <w:rFonts w:eastAsia="Times New Roman"/>
          <w:szCs w:val="19"/>
          <w:lang w:eastAsia="pl-PL"/>
        </w:rPr>
        <w:t>więcej niż przed rokiem.</w:t>
      </w:r>
    </w:p>
    <w:p w:rsidR="005227E2" w:rsidRDefault="005227E2" w:rsidP="005227E2">
      <w:pPr>
        <w:spacing w:before="120" w:after="120" w:line="240" w:lineRule="exact"/>
        <w:jc w:val="both"/>
        <w:rPr>
          <w:szCs w:val="19"/>
        </w:rPr>
      </w:pPr>
      <w:r w:rsidRPr="00A4718B">
        <w:rPr>
          <w:rFonts w:eastAsia="Times New Roman"/>
          <w:szCs w:val="19"/>
          <w:lang w:eastAsia="pl-PL"/>
        </w:rPr>
        <w:t>W marcu 2020 r. do urzędów pracy zgłoszono 2488 ofert zatrudnienia</w:t>
      </w:r>
      <w:r w:rsidRPr="00A4718B">
        <w:rPr>
          <w:rFonts w:eastAsia="Times New Roman"/>
          <w:szCs w:val="19"/>
          <w:vertAlign w:val="superscript"/>
          <w:lang w:eastAsia="pl-PL"/>
        </w:rPr>
        <w:footnoteReference w:id="1"/>
      </w:r>
      <w:r w:rsidRPr="00A4718B">
        <w:rPr>
          <w:rFonts w:eastAsia="Times New Roman"/>
          <w:szCs w:val="19"/>
          <w:lang w:eastAsia="pl-PL"/>
        </w:rPr>
        <w:t>, tj. o 1514 mniej niż przed miesiącem i o 3657 mniej niż przed rokiem. W końcu miesiąca na 1 ofertę pracy przypadało 63 bezrobotnych</w:t>
      </w:r>
      <w:r w:rsidRPr="00D35FAD">
        <w:rPr>
          <w:rFonts w:eastAsia="Times New Roman"/>
          <w:szCs w:val="19"/>
          <w:lang w:eastAsia="pl-PL"/>
        </w:rPr>
        <w:t xml:space="preserve"> (przed miesiącem 41</w:t>
      </w:r>
      <w:r>
        <w:rPr>
          <w:rFonts w:eastAsia="Times New Roman"/>
          <w:szCs w:val="19"/>
          <w:lang w:eastAsia="pl-PL"/>
        </w:rPr>
        <w:t>, a przed rokiem </w:t>
      </w:r>
      <w:r w:rsidRPr="00D35FAD">
        <w:rPr>
          <w:rFonts w:eastAsia="Times New Roman"/>
          <w:szCs w:val="19"/>
          <w:lang w:eastAsia="pl-PL"/>
        </w:rPr>
        <w:t>24).</w:t>
      </w:r>
      <w:r>
        <w:rPr>
          <w:szCs w:val="19"/>
        </w:rPr>
        <w:br w:type="page"/>
      </w:r>
    </w:p>
    <w:p w:rsidR="006B3FC8" w:rsidRDefault="001A7E68" w:rsidP="006B3FC8">
      <w:pPr>
        <w:pStyle w:val="Nagwek1"/>
        <w:tabs>
          <w:tab w:val="left" w:pos="4643"/>
        </w:tabs>
        <w:spacing w:before="240" w:after="120"/>
      </w:pPr>
      <w:r>
        <w:lastRenderedPageBreak/>
        <w:t xml:space="preserve">Turystyka </w:t>
      </w:r>
    </w:p>
    <w:p w:rsidR="00D17978" w:rsidRPr="00D17978" w:rsidRDefault="00D17978" w:rsidP="00D17978">
      <w:pPr>
        <w:spacing w:before="120" w:after="120" w:line="240" w:lineRule="exact"/>
        <w:jc w:val="both"/>
        <w:rPr>
          <w:rFonts w:cstheme="minorBidi"/>
          <w:noProof/>
          <w:szCs w:val="19"/>
          <w:lang w:eastAsia="pl-PL"/>
        </w:rPr>
      </w:pPr>
      <w:r w:rsidRPr="00D17978">
        <w:rPr>
          <w:rFonts w:cstheme="minorBidi"/>
          <w:noProof/>
          <w:szCs w:val="19"/>
          <w:lang w:eastAsia="pl-PL"/>
        </w:rPr>
        <w:t>Sektor turystyczny jest jednym z sektorów bezpośrednio dotkniętych obecnym kryzysem wynikającym z pandemii koronawirusa. Na całym świecie turystyczne obiekty noclegowe odnotowują niższe wskaźniki wykorzystania w zależności od stopnia rozprzestrzeniania się wirusa.</w:t>
      </w:r>
    </w:p>
    <w:p w:rsidR="00D17978" w:rsidRPr="00D17978" w:rsidRDefault="00D17978" w:rsidP="00D17978">
      <w:pPr>
        <w:spacing w:after="160" w:line="259" w:lineRule="auto"/>
        <w:jc w:val="both"/>
        <w:rPr>
          <w:rFonts w:cstheme="minorBidi"/>
          <w:noProof/>
          <w:szCs w:val="19"/>
          <w:lang w:eastAsia="pl-PL"/>
        </w:rPr>
      </w:pPr>
      <w:r w:rsidRPr="00D17978">
        <w:rPr>
          <w:rFonts w:cstheme="minorBidi"/>
          <w:noProof/>
          <w:szCs w:val="19"/>
          <w:lang w:eastAsia="pl-PL"/>
        </w:rPr>
        <w:t>Według wstępnych danych</w:t>
      </w:r>
      <w:r w:rsidRPr="00D17978">
        <w:t xml:space="preserve"> w marcu br. </w:t>
      </w:r>
      <w:r w:rsidRPr="00D17978">
        <w:rPr>
          <w:rFonts w:cstheme="minorBidi"/>
          <w:noProof/>
          <w:szCs w:val="19"/>
          <w:lang w:eastAsia="pl-PL"/>
        </w:rPr>
        <w:t xml:space="preserve">w województwie podkarpackim </w:t>
      </w:r>
      <w:r w:rsidRPr="00D17978">
        <w:t>z noclegów w turystycznych obiektach noclegowych posiadających 10 lub więcej miejsc skorzystało ok. 37 tys. turystów, w tym ok. 33 tys. turystów krajowych i ok. 4 tys. turystów zagranicznych. Szacuje się, że</w:t>
      </w:r>
      <w:r w:rsidRPr="00D17978">
        <w:rPr>
          <w:rFonts w:cstheme="minorBidi"/>
          <w:noProof/>
          <w:szCs w:val="19"/>
          <w:lang w:eastAsia="pl-PL"/>
        </w:rPr>
        <w:t xml:space="preserve"> liczba turystów korzystających z noclegów w marcu br. w porównaniu z analogicznym miesiącem ub. roku była niższa o ok. 59% (w kraju niższa o ok. 65%). Biorąc pod uwagę kraj stałego zamieszkania, Polaków było mniej o 58% (w kraju o 63%), a turystów zagranicznych o 66% (w kraju o 69%).</w:t>
      </w:r>
    </w:p>
    <w:p w:rsidR="00D17978" w:rsidRPr="00D17978" w:rsidRDefault="00D17978" w:rsidP="00D17978">
      <w:pPr>
        <w:rPr>
          <w:b/>
        </w:rPr>
      </w:pPr>
      <w:r w:rsidRPr="00D17978">
        <w:t xml:space="preserve">Wykres 7. </w:t>
      </w:r>
      <w:r w:rsidRPr="00D17978">
        <w:rPr>
          <w:b/>
          <w:spacing w:val="2"/>
        </w:rPr>
        <w:t>Turyści korzystający z noclegów</w:t>
      </w:r>
      <w:r w:rsidR="00D03619" w:rsidRPr="00520E45">
        <w:rPr>
          <w:rStyle w:val="Odwoanieprzypisudolnego"/>
          <w:b/>
          <w:spacing w:val="2"/>
        </w:rPr>
        <w:footnoteReference w:id="2"/>
      </w:r>
      <w:r w:rsidRPr="00D17978">
        <w:rPr>
          <w:b/>
          <w:spacing w:val="2"/>
        </w:rPr>
        <w:t xml:space="preserve"> na Podkarpaciu (w tys.)</w:t>
      </w:r>
    </w:p>
    <w:p w:rsidR="00D17978" w:rsidRPr="00D17978" w:rsidRDefault="003037DE" w:rsidP="00D17978">
      <w:pPr>
        <w:spacing w:after="160" w:line="259" w:lineRule="auto"/>
        <w:rPr>
          <w:rFonts w:cstheme="minorBidi"/>
          <w:sz w:val="18"/>
          <w:szCs w:val="22"/>
        </w:rPr>
      </w:pPr>
      <w:r>
        <w:rPr>
          <w:noProof/>
          <w:lang w:eastAsia="pl-PL"/>
        </w:rPr>
        <w:drawing>
          <wp:inline distT="0" distB="0" distL="0" distR="0" wp14:anchorId="2F7D2711" wp14:editId="6F507656">
            <wp:extent cx="6590581" cy="2527935"/>
            <wp:effectExtent l="0" t="0" r="1270" b="5715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978" w:rsidRPr="00D17978" w:rsidRDefault="00D17978" w:rsidP="00D17978">
      <w:pPr>
        <w:spacing w:before="120" w:after="120" w:line="240" w:lineRule="exact"/>
        <w:jc w:val="both"/>
        <w:rPr>
          <w:rFonts w:cstheme="minorBidi"/>
          <w:noProof/>
          <w:szCs w:val="19"/>
          <w:lang w:eastAsia="pl-PL"/>
        </w:rPr>
      </w:pPr>
      <w:r w:rsidRPr="00D17978">
        <w:rPr>
          <w:rFonts w:cstheme="minorBidi"/>
          <w:noProof/>
          <w:szCs w:val="19"/>
          <w:lang w:eastAsia="pl-PL"/>
        </w:rPr>
        <w:t>W kraju, podobny jak w województwie podkarpackim spadek liczby turystów ogółem w turystycznych obiektach noclegowych w porównan</w:t>
      </w:r>
      <w:r w:rsidR="00520E45">
        <w:rPr>
          <w:rFonts w:cstheme="minorBidi"/>
          <w:noProof/>
          <w:szCs w:val="19"/>
          <w:lang w:eastAsia="pl-PL"/>
        </w:rPr>
        <w:t>i</w:t>
      </w:r>
      <w:r w:rsidRPr="00D17978">
        <w:rPr>
          <w:rFonts w:cstheme="minorBidi"/>
          <w:noProof/>
          <w:szCs w:val="19"/>
          <w:lang w:eastAsia="pl-PL"/>
        </w:rPr>
        <w:t xml:space="preserve">u z marcem ub. roku odnotowano jeszcze w województwie śląskim. Największe spadki liczby turystów (powyżej szacowanej średniej dla Polski) wystąpiły natomiast w województwach: lubelskim, łodzkim, małopolskim, mazowieckim, świętokrzyskim i warmińsko-mazurskim. </w:t>
      </w:r>
    </w:p>
    <w:p w:rsidR="00D45BBD" w:rsidRPr="00D45BBD" w:rsidRDefault="00D45BBD" w:rsidP="00D45BBD">
      <w:pPr>
        <w:spacing w:before="240"/>
        <w:rPr>
          <w:b/>
        </w:rPr>
      </w:pPr>
      <w:r w:rsidRPr="00D45BBD">
        <w:t xml:space="preserve">Wykres </w:t>
      </w:r>
      <w:r w:rsidR="00531C82">
        <w:t>8</w:t>
      </w:r>
      <w:r w:rsidRPr="00D45BBD">
        <w:t xml:space="preserve">. </w:t>
      </w:r>
      <w:r w:rsidRPr="00D45BBD">
        <w:rPr>
          <w:b/>
        </w:rPr>
        <w:t>Turyści korzystający z noclegów</w:t>
      </w:r>
      <w:r w:rsidRPr="00D45BBD">
        <w:rPr>
          <w:b/>
          <w:vertAlign w:val="superscript"/>
        </w:rPr>
        <w:footnoteReference w:id="3"/>
      </w:r>
      <w:r w:rsidRPr="00D45BBD">
        <w:rPr>
          <w:b/>
        </w:rPr>
        <w:t xml:space="preserve"> (w tys.)</w:t>
      </w:r>
    </w:p>
    <w:p w:rsidR="00D45BBD" w:rsidRDefault="00D45BBD" w:rsidP="00D45BBD">
      <w:pPr>
        <w:rPr>
          <w:rFonts w:cstheme="minorBidi"/>
          <w:noProof/>
          <w:szCs w:val="19"/>
          <w:lang w:eastAsia="pl-PL"/>
        </w:rPr>
      </w:pPr>
      <w:r w:rsidRPr="00D45BBD">
        <w:rPr>
          <w:noProof/>
          <w:lang w:eastAsia="pl-PL"/>
        </w:rPr>
        <w:drawing>
          <wp:inline distT="0" distB="0" distL="0" distR="0" wp14:anchorId="473A0C67" wp14:editId="18FAB572">
            <wp:extent cx="6678930" cy="2932981"/>
            <wp:effectExtent l="0" t="0" r="7620" b="127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31C82" w:rsidRDefault="00531C82">
      <w:pPr>
        <w:spacing w:line="230" w:lineRule="exact"/>
        <w:ind w:firstLine="454"/>
        <w:rPr>
          <w:rFonts w:cstheme="minorBidi"/>
          <w:noProof/>
          <w:szCs w:val="19"/>
          <w:lang w:eastAsia="pl-PL"/>
        </w:rPr>
      </w:pPr>
      <w:r>
        <w:rPr>
          <w:rFonts w:cstheme="minorBidi"/>
          <w:noProof/>
          <w:szCs w:val="19"/>
          <w:lang w:eastAsia="pl-PL"/>
        </w:rPr>
        <w:br w:type="page"/>
      </w:r>
    </w:p>
    <w:p w:rsidR="00771315" w:rsidRDefault="00D26F4A" w:rsidP="00D26F4A">
      <w:pPr>
        <w:tabs>
          <w:tab w:val="left" w:pos="3255"/>
        </w:tabs>
        <w:jc w:val="both"/>
        <w:rPr>
          <w:noProof/>
          <w:szCs w:val="19"/>
          <w:lang w:eastAsia="pl-PL"/>
        </w:rPr>
      </w:pPr>
      <w:r w:rsidRPr="00D26F4A">
        <w:rPr>
          <w:noProof/>
          <w:szCs w:val="19"/>
          <w:lang w:eastAsia="pl-PL"/>
        </w:rPr>
        <w:lastRenderedPageBreak/>
        <w:t>W I kwartale 2020 r. spodziewany jest także spadek wydatków związanych z podróżami poniesionymi przez mieszkańców Polski i cudzoziemców.  Uwzględniając tempo wzrostu wydatków z pierwszych kwartałów trzech ostatnich lat oraz wstępne dane dotyczące korzystajacych z turystycznych obiektów noclegowych szacuje się,</w:t>
      </w:r>
      <w:r>
        <w:rPr>
          <w:noProof/>
          <w:szCs w:val="19"/>
          <w:lang w:eastAsia="pl-PL"/>
        </w:rPr>
        <w:t xml:space="preserve"> </w:t>
      </w:r>
      <w:r w:rsidRPr="00D26F4A">
        <w:rPr>
          <w:noProof/>
          <w:szCs w:val="19"/>
          <w:lang w:eastAsia="pl-PL"/>
        </w:rPr>
        <w:t>że wydatki poniesione w województwie podkarpackim przez turystów krajowych i zagranicznych wyniosą ok. 0,6 mld zł</w:t>
      </w:r>
      <w:r>
        <w:rPr>
          <w:noProof/>
          <w:szCs w:val="19"/>
          <w:lang w:eastAsia="pl-PL"/>
        </w:rPr>
        <w:t xml:space="preserve"> i w </w:t>
      </w:r>
      <w:r w:rsidRPr="00D26F4A">
        <w:rPr>
          <w:noProof/>
          <w:szCs w:val="19"/>
          <w:lang w:eastAsia="pl-PL"/>
        </w:rPr>
        <w:t>porównaniu do analogicznego okresu roku poprzedniego będą niższe o ok. 16% (krajowyc</w:t>
      </w:r>
      <w:r>
        <w:rPr>
          <w:noProof/>
          <w:szCs w:val="19"/>
          <w:lang w:eastAsia="pl-PL"/>
        </w:rPr>
        <w:t>h – o ok. 11% , zagranicznych – </w:t>
      </w:r>
      <w:r w:rsidRPr="00D26F4A">
        <w:rPr>
          <w:noProof/>
          <w:szCs w:val="19"/>
          <w:lang w:eastAsia="pl-PL"/>
        </w:rPr>
        <w:t>o ok. 21%).</w:t>
      </w:r>
    </w:p>
    <w:p w:rsidR="00771315" w:rsidRDefault="00771315" w:rsidP="00771315">
      <w:pPr>
        <w:tabs>
          <w:tab w:val="left" w:pos="3255"/>
        </w:tabs>
        <w:jc w:val="both"/>
        <w:rPr>
          <w:noProof/>
          <w:szCs w:val="19"/>
          <w:lang w:eastAsia="pl-PL"/>
        </w:rPr>
      </w:pPr>
    </w:p>
    <w:p w:rsidR="00EE7F69" w:rsidRDefault="00EE7F69" w:rsidP="00EE7F69">
      <w:pPr>
        <w:tabs>
          <w:tab w:val="left" w:pos="3255"/>
        </w:tabs>
        <w:rPr>
          <w:b/>
          <w:noProof/>
          <w:szCs w:val="19"/>
          <w:lang w:eastAsia="pl-PL"/>
        </w:rPr>
      </w:pPr>
      <w:r w:rsidRPr="00EE7F69">
        <w:rPr>
          <w:noProof/>
          <w:szCs w:val="19"/>
          <w:lang w:eastAsia="pl-PL"/>
        </w:rPr>
        <w:t xml:space="preserve">Wykres </w:t>
      </w:r>
      <w:r w:rsidR="00531C82">
        <w:rPr>
          <w:noProof/>
          <w:szCs w:val="19"/>
          <w:lang w:eastAsia="pl-PL"/>
        </w:rPr>
        <w:t>9</w:t>
      </w:r>
      <w:r w:rsidRPr="00EE7F69">
        <w:rPr>
          <w:noProof/>
          <w:szCs w:val="19"/>
          <w:lang w:eastAsia="pl-PL"/>
        </w:rPr>
        <w:t>.</w:t>
      </w:r>
      <w:r>
        <w:rPr>
          <w:b/>
          <w:noProof/>
          <w:szCs w:val="19"/>
          <w:lang w:eastAsia="pl-PL"/>
        </w:rPr>
        <w:t xml:space="preserve"> </w:t>
      </w:r>
      <w:r w:rsidR="00F8535A" w:rsidRPr="00F8535A">
        <w:rPr>
          <w:b/>
          <w:noProof/>
          <w:szCs w:val="19"/>
          <w:lang w:eastAsia="pl-PL"/>
        </w:rPr>
        <w:t>Szacunkowe wydatki turystów związane z podróżami poniesionymi w województwie podkarpackim</w:t>
      </w:r>
      <w:r w:rsidR="00FE2D1E">
        <w:rPr>
          <w:b/>
          <w:noProof/>
          <w:szCs w:val="19"/>
          <w:lang w:eastAsia="pl-PL"/>
        </w:rPr>
        <w:t xml:space="preserve"> </w:t>
      </w:r>
    </w:p>
    <w:p w:rsidR="00EE7F69" w:rsidRDefault="00F8535A" w:rsidP="00EE7F69">
      <w:pPr>
        <w:tabs>
          <w:tab w:val="left" w:pos="3255"/>
        </w:tabs>
        <w:jc w:val="center"/>
        <w:rPr>
          <w:b/>
          <w:noProof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5942516F" wp14:editId="504913D5">
            <wp:extent cx="4572000" cy="2743200"/>
            <wp:effectExtent l="0" t="0" r="0" b="0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E7F69" w:rsidRDefault="00EE7F69" w:rsidP="00EE7F69">
      <w:pPr>
        <w:tabs>
          <w:tab w:val="left" w:pos="3255"/>
        </w:tabs>
        <w:rPr>
          <w:noProof/>
          <w:szCs w:val="19"/>
          <w:lang w:eastAsia="pl-PL"/>
        </w:rPr>
      </w:pPr>
    </w:p>
    <w:p w:rsidR="00D17978" w:rsidRDefault="00D17978">
      <w:pPr>
        <w:spacing w:line="230" w:lineRule="exact"/>
        <w:ind w:firstLine="454"/>
        <w:rPr>
          <w:noProof/>
          <w:spacing w:val="-4"/>
          <w:szCs w:val="19"/>
          <w:lang w:eastAsia="pl-PL"/>
        </w:rPr>
      </w:pPr>
    </w:p>
    <w:p w:rsidR="00EE7F69" w:rsidRDefault="00EE7F69" w:rsidP="00EE7F69">
      <w:pPr>
        <w:rPr>
          <w:b/>
        </w:rPr>
      </w:pPr>
      <w:r w:rsidRPr="00EE7F69">
        <w:t>Mapa 1.</w:t>
      </w:r>
      <w:r w:rsidRPr="002307ED">
        <w:rPr>
          <w:b/>
        </w:rPr>
        <w:t xml:space="preserve"> </w:t>
      </w:r>
      <w:r>
        <w:rPr>
          <w:b/>
        </w:rPr>
        <w:t>Prognozowane w</w:t>
      </w:r>
      <w:r w:rsidRPr="002307ED">
        <w:rPr>
          <w:b/>
        </w:rPr>
        <w:t>ydatki turystów w Polsce według województw w I kwartale 2020 r.</w:t>
      </w:r>
    </w:p>
    <w:p w:rsidR="00EE7F69" w:rsidRDefault="00D31460" w:rsidP="00EE7F69">
      <w:pPr>
        <w:pStyle w:val="LID"/>
        <w:spacing w:line="240" w:lineRule="auto"/>
        <w:jc w:val="center"/>
        <w:rPr>
          <w:b w:val="0"/>
          <w:color w:val="FF0000"/>
        </w:rPr>
      </w:pPr>
      <w:r w:rsidRPr="00A91CC2">
        <w:drawing>
          <wp:inline distT="0" distB="0" distL="0" distR="0" wp14:anchorId="4E74D06C" wp14:editId="726CA655">
            <wp:extent cx="5122545" cy="386617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86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69" w:rsidRDefault="00FE57D6" w:rsidP="00FE57D6">
      <w:pPr>
        <w:pStyle w:val="LID"/>
        <w:jc w:val="both"/>
      </w:pPr>
      <w:r w:rsidRPr="00FE57D6">
        <w:rPr>
          <w:b w:val="0"/>
        </w:rPr>
        <w:t>Informację o wydatkach związanych z podróżami w I kwartale 2020 roku, opracowano na podstawie prognozy eksperckiej wykorzystujacej wyniki badań reprezentacyjnych „Podróże nierezydentów do Polski. Ruch pojazdów i osób na granicy Polski z krajami Unii Europejskiej” oraz „Uczestnictwo mieszkańców Polski (rezydentów) w podróżach”, ujętych w programie badań statystycznych statystyki publicznej. Szacunki dotyczą osób, których wyjazd obejmował co najmniej 1 nocleg i nie przekroczył roku, a podróż była odbywana w dowolnym głównym celu  (służbowym, spędzenia wolnego czasu lub innym prywatnym), innym niż w celu zatrudnienia. W obu badaniach, oprócz pobytu w turystycznych obiektach noclegowych, uwzględniane są także nieodpłatne miejsca zakwaterowania (np. u rodziny).</w:t>
      </w:r>
      <w:r>
        <w:rPr>
          <w:b w:val="0"/>
        </w:rPr>
        <w:t xml:space="preserve"> </w:t>
      </w:r>
      <w:r w:rsidR="00EE7F69">
        <w:br w:type="page"/>
      </w:r>
    </w:p>
    <w:p w:rsidR="00B2162C" w:rsidRDefault="00B2162C">
      <w:pPr>
        <w:spacing w:line="230" w:lineRule="exact"/>
        <w:ind w:firstLine="454"/>
      </w:pPr>
    </w:p>
    <w:p w:rsidR="00111673" w:rsidRDefault="00111673" w:rsidP="009B729B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5"/>
        <w:gridCol w:w="3632"/>
        <w:gridCol w:w="620"/>
        <w:gridCol w:w="2819"/>
      </w:tblGrid>
      <w:tr w:rsidR="009A5F1A" w:rsidRPr="008F3638" w:rsidTr="009A27F2">
        <w:trPr>
          <w:trHeight w:hRule="exact" w:val="454"/>
        </w:trPr>
        <w:tc>
          <w:tcPr>
            <w:tcW w:w="3395" w:type="dxa"/>
            <w:vAlign w:val="center"/>
          </w:tcPr>
          <w:p w:rsidR="009A5F1A" w:rsidRPr="00E158AD" w:rsidRDefault="00545B7D" w:rsidP="009A27F2">
            <w:pPr>
              <w:spacing w:line="240" w:lineRule="exact"/>
              <w:rPr>
                <w:rFonts w:cs="Arial"/>
                <w:color w:val="000000" w:themeColor="text1"/>
                <w:sz w:val="20"/>
              </w:rPr>
            </w:pPr>
            <w:r w:rsidRPr="00545B7D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9A5F1A" w:rsidRPr="00E158AD" w:rsidRDefault="004922A9" w:rsidP="009A27F2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4922A9">
              <w:rPr>
                <w:color w:val="000000" w:themeColor="text1"/>
                <w:sz w:val="20"/>
                <w:lang w:val="fi-FI"/>
              </w:rPr>
              <w:t>Kontakt</w:t>
            </w:r>
          </w:p>
        </w:tc>
        <w:tc>
          <w:tcPr>
            <w:tcW w:w="620" w:type="dxa"/>
            <w:vAlign w:val="center"/>
          </w:tcPr>
          <w:p w:rsidR="009A5F1A" w:rsidRPr="00E158AD" w:rsidRDefault="009A5F1A" w:rsidP="001A2FA2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  <w:vAlign w:val="center"/>
          </w:tcPr>
          <w:p w:rsidR="009A5F1A" w:rsidRPr="00A434EC" w:rsidRDefault="009A5F1A" w:rsidP="009A27F2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545B7D" w:rsidRPr="008F3638" w:rsidTr="004701F5">
        <w:trPr>
          <w:trHeight w:hRule="exact" w:val="678"/>
        </w:trPr>
        <w:tc>
          <w:tcPr>
            <w:tcW w:w="3395" w:type="dxa"/>
            <w:vAlign w:val="center"/>
          </w:tcPr>
          <w:p w:rsidR="00545B7D" w:rsidRDefault="00C81233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E158AD"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:rsidR="004701F5" w:rsidRDefault="004701F5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5152F">
              <w:rPr>
                <w:rFonts w:cs="Arial"/>
                <w:b/>
                <w:color w:val="000000" w:themeColor="text1"/>
                <w:sz w:val="20"/>
              </w:rPr>
              <w:t>Marek Cierpiał-Wolan</w:t>
            </w:r>
          </w:p>
        </w:tc>
        <w:tc>
          <w:tcPr>
            <w:tcW w:w="3632" w:type="dxa"/>
            <w:vAlign w:val="center"/>
          </w:tcPr>
          <w:p w:rsidR="00545B7D" w:rsidRPr="00E158AD" w:rsidRDefault="004922A9" w:rsidP="00F1437D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E158AD">
              <w:rPr>
                <w:rFonts w:cs="Arial"/>
                <w:b/>
                <w:color w:val="000000" w:themeColor="text1"/>
                <w:sz w:val="20"/>
                <w:lang w:val="en-GB"/>
              </w:rPr>
              <w:t>tel.:</w:t>
            </w:r>
            <w:r w:rsidRPr="00E158AD">
              <w:rPr>
                <w:rFonts w:cs="Arial"/>
                <w:color w:val="000000" w:themeColor="text1"/>
                <w:sz w:val="20"/>
                <w:lang w:val="en-GB"/>
              </w:rPr>
              <w:t xml:space="preserve"> 17</w:t>
            </w:r>
            <w:r w:rsidR="00F1437D">
              <w:rPr>
                <w:rFonts w:cs="Arial"/>
                <w:color w:val="000000" w:themeColor="text1"/>
                <w:sz w:val="20"/>
                <w:lang w:val="en-GB"/>
              </w:rPr>
              <w:t xml:space="preserve"> 853 52 10, 17 </w:t>
            </w:r>
            <w:r w:rsidRPr="00E158AD">
              <w:rPr>
                <w:rFonts w:cs="Arial"/>
                <w:color w:val="000000" w:themeColor="text1"/>
                <w:sz w:val="20"/>
                <w:lang w:val="en-GB"/>
              </w:rPr>
              <w:t>853 52 19</w:t>
            </w:r>
          </w:p>
        </w:tc>
        <w:tc>
          <w:tcPr>
            <w:tcW w:w="620" w:type="dxa"/>
            <w:vAlign w:val="center"/>
          </w:tcPr>
          <w:p w:rsidR="00545B7D" w:rsidRPr="00E158AD" w:rsidRDefault="004701F5" w:rsidP="001A2FA2">
            <w:pPr>
              <w:rPr>
                <w:rFonts w:cs="Arial"/>
                <w:color w:val="000000" w:themeColor="text1"/>
                <w:sz w:val="20"/>
              </w:rPr>
            </w:pPr>
            <w:r w:rsidRPr="00E158AD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29ED2F08" wp14:editId="0B32102A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:rsidR="00545B7D" w:rsidRPr="00A434EC" w:rsidRDefault="006C1A17" w:rsidP="009A27F2">
            <w:pPr>
              <w:rPr>
                <w:rFonts w:cs="Arial"/>
                <w:color w:val="000000" w:themeColor="text1"/>
                <w:sz w:val="20"/>
              </w:rPr>
            </w:pPr>
            <w:hyperlink r:id="rId19" w:history="1">
              <w:r w:rsidR="004701F5" w:rsidRPr="00A434EC">
                <w:rPr>
                  <w:rStyle w:val="Hipercze"/>
                  <w:color w:val="000000" w:themeColor="text1"/>
                  <w:sz w:val="20"/>
                  <w:u w:val="none"/>
                </w:rPr>
                <w:t>rzeszow.stat.gov.pl</w:t>
              </w:r>
            </w:hyperlink>
          </w:p>
        </w:tc>
      </w:tr>
      <w:tr w:rsidR="00C81233" w:rsidRPr="00222D4D" w:rsidTr="009A27F2">
        <w:trPr>
          <w:trHeight w:hRule="exact" w:val="454"/>
        </w:trPr>
        <w:tc>
          <w:tcPr>
            <w:tcW w:w="3395" w:type="dxa"/>
            <w:vAlign w:val="center"/>
          </w:tcPr>
          <w:p w:rsidR="00C81233" w:rsidRPr="00E158AD" w:rsidRDefault="004701F5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E158AD">
              <w:rPr>
                <w:rFonts w:cs="Arial"/>
                <w:color w:val="000000" w:themeColor="text1"/>
                <w:sz w:val="20"/>
              </w:rPr>
              <w:t>ul. Jana III Sobieskiego 10</w:t>
            </w:r>
          </w:p>
        </w:tc>
        <w:tc>
          <w:tcPr>
            <w:tcW w:w="3632" w:type="dxa"/>
            <w:vAlign w:val="center"/>
          </w:tcPr>
          <w:p w:rsidR="00C81233" w:rsidRPr="00E158AD" w:rsidRDefault="004922A9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4271BE">
              <w:rPr>
                <w:b/>
                <w:color w:val="000000" w:themeColor="text1"/>
                <w:sz w:val="20"/>
                <w:lang w:val="fi-FI"/>
              </w:rPr>
              <w:t>faks:</w:t>
            </w:r>
            <w:r>
              <w:rPr>
                <w:color w:val="000000" w:themeColor="text1"/>
                <w:sz w:val="20"/>
                <w:lang w:val="fi-FI"/>
              </w:rPr>
              <w:t xml:space="preserve"> 17 853 51 57</w:t>
            </w:r>
          </w:p>
        </w:tc>
        <w:tc>
          <w:tcPr>
            <w:tcW w:w="620" w:type="dxa"/>
            <w:vAlign w:val="center"/>
          </w:tcPr>
          <w:p w:rsidR="00C81233" w:rsidRPr="00E158AD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val="en-GB"/>
              </w:rPr>
            </w:pPr>
            <w:r w:rsidRPr="00E158AD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15E4CBA2" wp14:editId="0564BD14">
                  <wp:extent cx="256540" cy="2514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:rsidR="00C81233" w:rsidRPr="00A434EC" w:rsidRDefault="006C1A17" w:rsidP="00C81233">
            <w:pPr>
              <w:rPr>
                <w:rFonts w:cs="Arial"/>
                <w:color w:val="000000" w:themeColor="text1"/>
                <w:sz w:val="20"/>
              </w:rPr>
            </w:pPr>
            <w:hyperlink r:id="rId21" w:history="1">
              <w:r w:rsidR="004701F5" w:rsidRPr="00A434EC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4701F5" w:rsidRPr="00A434EC">
                <w:rPr>
                  <w:rStyle w:val="Hipercze"/>
                  <w:color w:val="000000" w:themeColor="text1"/>
                  <w:sz w:val="20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222D4D" w:rsidTr="009A27F2">
        <w:trPr>
          <w:trHeight w:hRule="exact" w:val="454"/>
        </w:trPr>
        <w:tc>
          <w:tcPr>
            <w:tcW w:w="3395" w:type="dxa"/>
            <w:vAlign w:val="center"/>
          </w:tcPr>
          <w:p w:rsidR="00C81233" w:rsidRPr="00E158AD" w:rsidRDefault="004701F5" w:rsidP="00C81233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E158AD">
              <w:rPr>
                <w:rFonts w:cs="Arial"/>
                <w:color w:val="000000" w:themeColor="text1"/>
                <w:sz w:val="20"/>
              </w:rPr>
              <w:t>35-959 Rzeszów</w:t>
            </w:r>
          </w:p>
        </w:tc>
        <w:tc>
          <w:tcPr>
            <w:tcW w:w="3632" w:type="dxa"/>
            <w:vAlign w:val="center"/>
          </w:tcPr>
          <w:p w:rsidR="00C81233" w:rsidRPr="00E158AD" w:rsidRDefault="004701F5" w:rsidP="00C81233">
            <w:pPr>
              <w:spacing w:line="240" w:lineRule="exact"/>
              <w:rPr>
                <w:rFonts w:cs="Arial"/>
                <w:color w:val="000000" w:themeColor="text1"/>
                <w:sz w:val="20"/>
                <w:lang w:val="en-GB"/>
              </w:rPr>
            </w:pPr>
            <w:r w:rsidRPr="00E158A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2" w:history="1">
              <w:r w:rsidRPr="00A434EC">
                <w:rPr>
                  <w:rStyle w:val="Hipercze"/>
                  <w:rFonts w:cs="Arial"/>
                  <w:color w:val="000000" w:themeColor="text1"/>
                  <w:sz w:val="20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vAlign w:val="center"/>
          </w:tcPr>
          <w:p w:rsidR="00C81233" w:rsidRPr="00E158AD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eastAsia="pl-PL"/>
              </w:rPr>
            </w:pPr>
            <w:r w:rsidRPr="00E158AD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5B3C23FF" wp14:editId="2D3DC48F">
                  <wp:extent cx="255905" cy="25019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:rsidR="00C81233" w:rsidRPr="00A434EC" w:rsidRDefault="006C1A17" w:rsidP="00C81233">
            <w:pPr>
              <w:rPr>
                <w:color w:val="000000" w:themeColor="text1"/>
                <w:sz w:val="20"/>
                <w:lang w:val="en-GB"/>
              </w:rPr>
            </w:pPr>
            <w:hyperlink r:id="rId24" w:history="1">
              <w:r w:rsidR="004701F5" w:rsidRPr="00A434EC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4701F5" w:rsidRPr="00A434EC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</w:p>
        </w:tc>
      </w:tr>
    </w:tbl>
    <w:p w:rsidR="00A2450C" w:rsidRPr="00035576" w:rsidRDefault="00A2450C" w:rsidP="009B729B">
      <w:pPr>
        <w:rPr>
          <w:lang w:val="en-US"/>
        </w:rPr>
      </w:pPr>
    </w:p>
    <w:p w:rsidR="00111673" w:rsidRPr="00035576" w:rsidRDefault="00111673" w:rsidP="009B729B">
      <w:pPr>
        <w:rPr>
          <w:lang w:val="en-US"/>
        </w:rPr>
      </w:pPr>
    </w:p>
    <w:p w:rsidR="004E2EEB" w:rsidRPr="00035576" w:rsidRDefault="004E2EEB" w:rsidP="009B729B">
      <w:pPr>
        <w:rPr>
          <w:lang w:val="en-US"/>
        </w:rPr>
      </w:pPr>
    </w:p>
    <w:sectPr w:rsidR="004E2EEB" w:rsidRPr="00035576" w:rsidSect="00B2162C">
      <w:headerReference w:type="first" r:id="rId25"/>
      <w:footerReference w:type="first" r:id="rId26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A17" w:rsidRDefault="006C1A17" w:rsidP="00502C57">
      <w:r>
        <w:separator/>
      </w:r>
    </w:p>
  </w:endnote>
  <w:endnote w:type="continuationSeparator" w:id="0">
    <w:p w:rsidR="006C1A17" w:rsidRDefault="006C1A17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94189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E3682" w:rsidRDefault="005E3682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4AE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E3682" w:rsidRDefault="005E368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A17" w:rsidRDefault="006C1A17" w:rsidP="00502C57">
      <w:r>
        <w:separator/>
      </w:r>
    </w:p>
  </w:footnote>
  <w:footnote w:type="continuationSeparator" w:id="0">
    <w:p w:rsidR="006C1A17" w:rsidRDefault="006C1A17" w:rsidP="00502C57">
      <w:r>
        <w:continuationSeparator/>
      </w:r>
    </w:p>
  </w:footnote>
  <w:footnote w:id="1">
    <w:p w:rsidR="005227E2" w:rsidRPr="004366F2" w:rsidRDefault="005227E2" w:rsidP="005227E2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2">
    <w:p w:rsidR="00D03619" w:rsidRDefault="00D0361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45BBD">
        <w:rPr>
          <w:sz w:val="16"/>
        </w:rPr>
        <w:t>W turystycznych obiektach noclegowych posiadających 10 lub więcej miejsc.</w:t>
      </w:r>
    </w:p>
  </w:footnote>
  <w:footnote w:id="3">
    <w:p w:rsidR="00D45BBD" w:rsidRDefault="00D45BBD" w:rsidP="00D45BB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45BBD">
        <w:rPr>
          <w:sz w:val="16"/>
        </w:rPr>
        <w:t>W turystycznych obiektach noclegowych posiadających 10 lub więcej miejsc.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7E2" w:rsidRPr="00AF15B1" w:rsidRDefault="005227E2" w:rsidP="005227E2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162685" cy="360045"/>
          <wp:effectExtent l="0" t="0" r="0" b="1905"/>
          <wp:wrapTopAndBottom/>
          <wp:docPr id="15" name="Obraz 15" descr="Logo US w Rrzeszowie wersja podstawowa wariant kolorowy bez 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227E2" w:rsidRPr="00AF15B1" w:rsidRDefault="005227E2" w:rsidP="005227E2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875BA9" wp14:editId="53D43F4E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227E2" w:rsidRPr="003C6C8D" w:rsidRDefault="005227E2" w:rsidP="005227E2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75BA9" id="Schemat blokowy: opóźnienie 6" o:spid="_x0000_s1026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5227E2" w:rsidRPr="003C6C8D" w:rsidRDefault="005227E2" w:rsidP="005227E2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:rsidR="005227E2" w:rsidRPr="00AF15B1" w:rsidRDefault="005227E2" w:rsidP="005227E2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8D762B" wp14:editId="1DFB1981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28192B" id="Łącznik prosty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swbFwu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</w:p>
  <w:p w:rsidR="005227E2" w:rsidRPr="00AF15B1" w:rsidRDefault="005227E2" w:rsidP="005227E2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50E2116" wp14:editId="4A181DD0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227E2" w:rsidRPr="00FE252C" w:rsidRDefault="005227E2" w:rsidP="005227E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5227E2" w:rsidRPr="00FE252C" w:rsidRDefault="005227E2" w:rsidP="005227E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0E211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" filled="f" stroked="f">
              <v:textbox>
                <w:txbxContent>
                  <w:p w:rsidR="005227E2" w:rsidRPr="00FE252C" w:rsidRDefault="005227E2" w:rsidP="005227E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5227E2" w:rsidRPr="00FE252C" w:rsidRDefault="005227E2" w:rsidP="005227E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5227E2" w:rsidRDefault="005227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8A65FBA"/>
    <w:multiLevelType w:val="hybridMultilevel"/>
    <w:tmpl w:val="4EE045CE"/>
    <w:lvl w:ilvl="0" w:tplc="12549492">
      <w:start w:val="3"/>
      <w:numFmt w:val="decimal"/>
      <w:suff w:val="space"/>
      <w:lvlText w:val="Tablica %1."/>
      <w:lvlJc w:val="left"/>
      <w:pPr>
        <w:ind w:left="-76" w:firstLine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-687" w:hanging="360"/>
      </w:pPr>
    </w:lvl>
    <w:lvl w:ilvl="2" w:tplc="0415001B" w:tentative="1">
      <w:start w:val="1"/>
      <w:numFmt w:val="lowerRoman"/>
      <w:lvlText w:val="%3."/>
      <w:lvlJc w:val="right"/>
      <w:pPr>
        <w:ind w:left="33" w:hanging="180"/>
      </w:pPr>
    </w:lvl>
    <w:lvl w:ilvl="3" w:tplc="0415000F" w:tentative="1">
      <w:start w:val="1"/>
      <w:numFmt w:val="decimal"/>
      <w:lvlText w:val="%4."/>
      <w:lvlJc w:val="left"/>
      <w:pPr>
        <w:ind w:left="753" w:hanging="360"/>
      </w:pPr>
    </w:lvl>
    <w:lvl w:ilvl="4" w:tplc="04150019" w:tentative="1">
      <w:start w:val="1"/>
      <w:numFmt w:val="lowerLetter"/>
      <w:lvlText w:val="%5."/>
      <w:lvlJc w:val="left"/>
      <w:pPr>
        <w:ind w:left="1473" w:hanging="360"/>
      </w:pPr>
    </w:lvl>
    <w:lvl w:ilvl="5" w:tplc="0415001B" w:tentative="1">
      <w:start w:val="1"/>
      <w:numFmt w:val="lowerRoman"/>
      <w:lvlText w:val="%6."/>
      <w:lvlJc w:val="right"/>
      <w:pPr>
        <w:ind w:left="2193" w:hanging="180"/>
      </w:pPr>
    </w:lvl>
    <w:lvl w:ilvl="6" w:tplc="0415000F" w:tentative="1">
      <w:start w:val="1"/>
      <w:numFmt w:val="decimal"/>
      <w:lvlText w:val="%7."/>
      <w:lvlJc w:val="left"/>
      <w:pPr>
        <w:ind w:left="2913" w:hanging="360"/>
      </w:pPr>
    </w:lvl>
    <w:lvl w:ilvl="7" w:tplc="04150019" w:tentative="1">
      <w:start w:val="1"/>
      <w:numFmt w:val="lowerLetter"/>
      <w:lvlText w:val="%8."/>
      <w:lvlJc w:val="left"/>
      <w:pPr>
        <w:ind w:left="3633" w:hanging="360"/>
      </w:pPr>
    </w:lvl>
    <w:lvl w:ilvl="8" w:tplc="0415001B" w:tentative="1">
      <w:start w:val="1"/>
      <w:numFmt w:val="lowerRoman"/>
      <w:lvlText w:val="%9."/>
      <w:lvlJc w:val="right"/>
      <w:pPr>
        <w:ind w:left="4353" w:hanging="180"/>
      </w:pPr>
    </w:lvl>
  </w:abstractNum>
  <w:abstractNum w:abstractNumId="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u w:val="none"/>
      </w:rPr>
    </w:lvl>
  </w:abstractNum>
  <w:abstractNum w:abstractNumId="4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30B3D"/>
    <w:multiLevelType w:val="hybridMultilevel"/>
    <w:tmpl w:val="9BB29EEE"/>
    <w:lvl w:ilvl="0" w:tplc="DD24433A">
      <w:start w:val="7"/>
      <w:numFmt w:val="decimal"/>
      <w:suff w:val="space"/>
      <w:lvlText w:val="Tablica %1."/>
      <w:lvlJc w:val="left"/>
      <w:pPr>
        <w:ind w:left="-360" w:firstLine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27C04E2E"/>
    <w:lvl w:ilvl="0" w:tplc="A56E0DFC">
      <w:start w:val="1"/>
      <w:numFmt w:val="decimal"/>
      <w:pStyle w:val="Nagwek5"/>
      <w:suff w:val="space"/>
      <w:lvlText w:val="Wykres %1."/>
      <w:lvlJc w:val="left"/>
      <w:pPr>
        <w:ind w:left="491" w:firstLine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7C022A8B"/>
    <w:multiLevelType w:val="hybridMultilevel"/>
    <w:tmpl w:val="71F05F98"/>
    <w:lvl w:ilvl="0" w:tplc="B27AA3B0">
      <w:start w:val="1"/>
      <w:numFmt w:val="decimal"/>
      <w:pStyle w:val="Tablicespis"/>
      <w:suff w:val="space"/>
      <w:lvlText w:val="Tablica %1."/>
      <w:lvlJc w:val="left"/>
      <w:pPr>
        <w:ind w:left="1484" w:firstLine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0"/>
  </w:num>
  <w:num w:numId="7">
    <w:abstractNumId w:val="3"/>
  </w:num>
  <w:num w:numId="8">
    <w:abstractNumId w:val="2"/>
  </w:num>
  <w:num w:numId="9">
    <w:abstractNumId w:val="8"/>
  </w:num>
  <w:num w:numId="10">
    <w:abstractNumId w:val="6"/>
  </w:num>
  <w:num w:numId="11">
    <w:abstractNumId w:val="0"/>
  </w:num>
  <w:num w:numId="12">
    <w:abstractNumId w:val="11"/>
  </w:num>
  <w:num w:numId="13">
    <w:abstractNumId w:val="9"/>
  </w:num>
  <w:num w:numId="14">
    <w:abstractNumId w:val="11"/>
  </w:num>
  <w:num w:numId="15">
    <w:abstractNumId w:val="9"/>
  </w:num>
  <w:num w:numId="16">
    <w:abstractNumId w:val="1"/>
  </w:num>
  <w:num w:numId="17">
    <w:abstractNumId w:val="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9"/>
  <w:autoHyphenation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AE1"/>
    <w:rsid w:val="000012A9"/>
    <w:rsid w:val="00001A26"/>
    <w:rsid w:val="00001E60"/>
    <w:rsid w:val="00002777"/>
    <w:rsid w:val="00002869"/>
    <w:rsid w:val="00002C51"/>
    <w:rsid w:val="00002F1E"/>
    <w:rsid w:val="0000452E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6A3"/>
    <w:rsid w:val="00012360"/>
    <w:rsid w:val="00012DA0"/>
    <w:rsid w:val="000135A0"/>
    <w:rsid w:val="00013942"/>
    <w:rsid w:val="00013B4B"/>
    <w:rsid w:val="00014BD8"/>
    <w:rsid w:val="00015624"/>
    <w:rsid w:val="000161D7"/>
    <w:rsid w:val="00016EEF"/>
    <w:rsid w:val="0001711C"/>
    <w:rsid w:val="00017433"/>
    <w:rsid w:val="00017BE0"/>
    <w:rsid w:val="00017F6A"/>
    <w:rsid w:val="000201DA"/>
    <w:rsid w:val="00020CAA"/>
    <w:rsid w:val="0002212A"/>
    <w:rsid w:val="0002238B"/>
    <w:rsid w:val="0002296D"/>
    <w:rsid w:val="000240C1"/>
    <w:rsid w:val="0002467D"/>
    <w:rsid w:val="000247EF"/>
    <w:rsid w:val="000253C6"/>
    <w:rsid w:val="0002622E"/>
    <w:rsid w:val="00026235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CE"/>
    <w:rsid w:val="000321C0"/>
    <w:rsid w:val="00032354"/>
    <w:rsid w:val="00032BF1"/>
    <w:rsid w:val="000333C5"/>
    <w:rsid w:val="00033848"/>
    <w:rsid w:val="00035576"/>
    <w:rsid w:val="00035F57"/>
    <w:rsid w:val="00036016"/>
    <w:rsid w:val="000364B7"/>
    <w:rsid w:val="00037E59"/>
    <w:rsid w:val="0004000C"/>
    <w:rsid w:val="0004031E"/>
    <w:rsid w:val="000409E0"/>
    <w:rsid w:val="000411B6"/>
    <w:rsid w:val="00041586"/>
    <w:rsid w:val="00041AF0"/>
    <w:rsid w:val="00041DFE"/>
    <w:rsid w:val="00041F19"/>
    <w:rsid w:val="000421BF"/>
    <w:rsid w:val="00044060"/>
    <w:rsid w:val="00044FE6"/>
    <w:rsid w:val="0004557F"/>
    <w:rsid w:val="000459E6"/>
    <w:rsid w:val="000459FC"/>
    <w:rsid w:val="00046528"/>
    <w:rsid w:val="00046A10"/>
    <w:rsid w:val="00046F6D"/>
    <w:rsid w:val="00047047"/>
    <w:rsid w:val="000472F6"/>
    <w:rsid w:val="00047C8A"/>
    <w:rsid w:val="00050664"/>
    <w:rsid w:val="00050FB1"/>
    <w:rsid w:val="00051152"/>
    <w:rsid w:val="00051444"/>
    <w:rsid w:val="00051483"/>
    <w:rsid w:val="0005152F"/>
    <w:rsid w:val="000518D0"/>
    <w:rsid w:val="00053B5E"/>
    <w:rsid w:val="00053BE2"/>
    <w:rsid w:val="000542AD"/>
    <w:rsid w:val="00054D7F"/>
    <w:rsid w:val="00055E7B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9DF"/>
    <w:rsid w:val="00060E6B"/>
    <w:rsid w:val="000616F8"/>
    <w:rsid w:val="00062497"/>
    <w:rsid w:val="00062AE7"/>
    <w:rsid w:val="0006339A"/>
    <w:rsid w:val="00063715"/>
    <w:rsid w:val="00063874"/>
    <w:rsid w:val="000647B8"/>
    <w:rsid w:val="0006621E"/>
    <w:rsid w:val="0006697F"/>
    <w:rsid w:val="00067D55"/>
    <w:rsid w:val="00070AE6"/>
    <w:rsid w:val="00070ED1"/>
    <w:rsid w:val="00071790"/>
    <w:rsid w:val="0007195F"/>
    <w:rsid w:val="00071B39"/>
    <w:rsid w:val="00071BD7"/>
    <w:rsid w:val="00071D46"/>
    <w:rsid w:val="0007261C"/>
    <w:rsid w:val="0007383D"/>
    <w:rsid w:val="00073861"/>
    <w:rsid w:val="0007516B"/>
    <w:rsid w:val="0007533F"/>
    <w:rsid w:val="00075510"/>
    <w:rsid w:val="00075D3F"/>
    <w:rsid w:val="00075D75"/>
    <w:rsid w:val="00076889"/>
    <w:rsid w:val="00076CD1"/>
    <w:rsid w:val="00080106"/>
    <w:rsid w:val="0008024F"/>
    <w:rsid w:val="000804F0"/>
    <w:rsid w:val="00080698"/>
    <w:rsid w:val="00080A99"/>
    <w:rsid w:val="00080E5A"/>
    <w:rsid w:val="000818E1"/>
    <w:rsid w:val="00081B0C"/>
    <w:rsid w:val="00082659"/>
    <w:rsid w:val="00082A72"/>
    <w:rsid w:val="00082B26"/>
    <w:rsid w:val="00082E2B"/>
    <w:rsid w:val="00083527"/>
    <w:rsid w:val="00083EEA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C41"/>
    <w:rsid w:val="00091433"/>
    <w:rsid w:val="00091AE5"/>
    <w:rsid w:val="00091C8B"/>
    <w:rsid w:val="00091F52"/>
    <w:rsid w:val="00092015"/>
    <w:rsid w:val="00093116"/>
    <w:rsid w:val="0009329A"/>
    <w:rsid w:val="00093EF3"/>
    <w:rsid w:val="00094698"/>
    <w:rsid w:val="00094748"/>
    <w:rsid w:val="00095A93"/>
    <w:rsid w:val="000977DD"/>
    <w:rsid w:val="000978E0"/>
    <w:rsid w:val="000A02D5"/>
    <w:rsid w:val="000A0D33"/>
    <w:rsid w:val="000A13A7"/>
    <w:rsid w:val="000A1CB8"/>
    <w:rsid w:val="000A1D5A"/>
    <w:rsid w:val="000A1FC7"/>
    <w:rsid w:val="000A20D8"/>
    <w:rsid w:val="000A2121"/>
    <w:rsid w:val="000A222E"/>
    <w:rsid w:val="000A2DE1"/>
    <w:rsid w:val="000A42E6"/>
    <w:rsid w:val="000A5695"/>
    <w:rsid w:val="000A6067"/>
    <w:rsid w:val="000A620A"/>
    <w:rsid w:val="000A726D"/>
    <w:rsid w:val="000A7A9E"/>
    <w:rsid w:val="000A7B17"/>
    <w:rsid w:val="000A7B46"/>
    <w:rsid w:val="000A7BF1"/>
    <w:rsid w:val="000A7C71"/>
    <w:rsid w:val="000B08BD"/>
    <w:rsid w:val="000B0C43"/>
    <w:rsid w:val="000B0CAD"/>
    <w:rsid w:val="000B0D74"/>
    <w:rsid w:val="000B0E6A"/>
    <w:rsid w:val="000B1540"/>
    <w:rsid w:val="000B1BA2"/>
    <w:rsid w:val="000B1D0E"/>
    <w:rsid w:val="000B1FA0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40EC"/>
    <w:rsid w:val="000B433D"/>
    <w:rsid w:val="000B4672"/>
    <w:rsid w:val="000B5451"/>
    <w:rsid w:val="000B560B"/>
    <w:rsid w:val="000B5AAD"/>
    <w:rsid w:val="000B5DEB"/>
    <w:rsid w:val="000B6290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E4A"/>
    <w:rsid w:val="000C2165"/>
    <w:rsid w:val="000C231D"/>
    <w:rsid w:val="000C253C"/>
    <w:rsid w:val="000C37E1"/>
    <w:rsid w:val="000C4327"/>
    <w:rsid w:val="000C45A4"/>
    <w:rsid w:val="000C5352"/>
    <w:rsid w:val="000C59E3"/>
    <w:rsid w:val="000C5CA2"/>
    <w:rsid w:val="000C6796"/>
    <w:rsid w:val="000C6DF2"/>
    <w:rsid w:val="000C6F80"/>
    <w:rsid w:val="000C7EA5"/>
    <w:rsid w:val="000D04B7"/>
    <w:rsid w:val="000D0CEB"/>
    <w:rsid w:val="000D141F"/>
    <w:rsid w:val="000D161E"/>
    <w:rsid w:val="000D207B"/>
    <w:rsid w:val="000D227A"/>
    <w:rsid w:val="000D22D6"/>
    <w:rsid w:val="000D25FA"/>
    <w:rsid w:val="000D28F8"/>
    <w:rsid w:val="000D2929"/>
    <w:rsid w:val="000D31F3"/>
    <w:rsid w:val="000D3831"/>
    <w:rsid w:val="000D497E"/>
    <w:rsid w:val="000D4CBC"/>
    <w:rsid w:val="000D6269"/>
    <w:rsid w:val="000E0066"/>
    <w:rsid w:val="000E02CA"/>
    <w:rsid w:val="000E0E61"/>
    <w:rsid w:val="000E1098"/>
    <w:rsid w:val="000E127B"/>
    <w:rsid w:val="000E161C"/>
    <w:rsid w:val="000E24E4"/>
    <w:rsid w:val="000E2745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B73"/>
    <w:rsid w:val="000E783A"/>
    <w:rsid w:val="000F08DE"/>
    <w:rsid w:val="000F09EA"/>
    <w:rsid w:val="000F0A83"/>
    <w:rsid w:val="000F0D1F"/>
    <w:rsid w:val="000F0EE3"/>
    <w:rsid w:val="000F1421"/>
    <w:rsid w:val="000F1B63"/>
    <w:rsid w:val="000F26B5"/>
    <w:rsid w:val="000F3BB0"/>
    <w:rsid w:val="000F3BDA"/>
    <w:rsid w:val="000F3F4D"/>
    <w:rsid w:val="000F40E2"/>
    <w:rsid w:val="000F4A34"/>
    <w:rsid w:val="000F5954"/>
    <w:rsid w:val="000F699E"/>
    <w:rsid w:val="000F6D1C"/>
    <w:rsid w:val="000F6D9E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786"/>
    <w:rsid w:val="001047DD"/>
    <w:rsid w:val="001055BA"/>
    <w:rsid w:val="00105B02"/>
    <w:rsid w:val="00105D04"/>
    <w:rsid w:val="0010647A"/>
    <w:rsid w:val="00106649"/>
    <w:rsid w:val="00106798"/>
    <w:rsid w:val="00110776"/>
    <w:rsid w:val="00110814"/>
    <w:rsid w:val="001108DD"/>
    <w:rsid w:val="00111642"/>
    <w:rsid w:val="00111673"/>
    <w:rsid w:val="00111B19"/>
    <w:rsid w:val="00114009"/>
    <w:rsid w:val="00114244"/>
    <w:rsid w:val="00114B09"/>
    <w:rsid w:val="00114D15"/>
    <w:rsid w:val="0011503B"/>
    <w:rsid w:val="001159F5"/>
    <w:rsid w:val="0011639A"/>
    <w:rsid w:val="00116967"/>
    <w:rsid w:val="00116CA7"/>
    <w:rsid w:val="00116E86"/>
    <w:rsid w:val="00117164"/>
    <w:rsid w:val="00117392"/>
    <w:rsid w:val="00117A40"/>
    <w:rsid w:val="001205CE"/>
    <w:rsid w:val="00120973"/>
    <w:rsid w:val="00120C76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983"/>
    <w:rsid w:val="00130336"/>
    <w:rsid w:val="00130FAD"/>
    <w:rsid w:val="001310FD"/>
    <w:rsid w:val="00131367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58AA"/>
    <w:rsid w:val="00135E7C"/>
    <w:rsid w:val="00135F83"/>
    <w:rsid w:val="0013603B"/>
    <w:rsid w:val="0013627C"/>
    <w:rsid w:val="00136C3C"/>
    <w:rsid w:val="0013701C"/>
    <w:rsid w:val="001372A7"/>
    <w:rsid w:val="00137AD1"/>
    <w:rsid w:val="00137C37"/>
    <w:rsid w:val="00137E4A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F44"/>
    <w:rsid w:val="00142FB9"/>
    <w:rsid w:val="00142FF2"/>
    <w:rsid w:val="00143556"/>
    <w:rsid w:val="0014358F"/>
    <w:rsid w:val="00143C42"/>
    <w:rsid w:val="00144204"/>
    <w:rsid w:val="001453AB"/>
    <w:rsid w:val="00145C76"/>
    <w:rsid w:val="00145FBF"/>
    <w:rsid w:val="00146924"/>
    <w:rsid w:val="00147029"/>
    <w:rsid w:val="0014718E"/>
    <w:rsid w:val="001472B0"/>
    <w:rsid w:val="00147660"/>
    <w:rsid w:val="00147672"/>
    <w:rsid w:val="00147CDE"/>
    <w:rsid w:val="00147EDF"/>
    <w:rsid w:val="00150090"/>
    <w:rsid w:val="00150F38"/>
    <w:rsid w:val="00151021"/>
    <w:rsid w:val="001512DB"/>
    <w:rsid w:val="001516B3"/>
    <w:rsid w:val="00152295"/>
    <w:rsid w:val="001526CD"/>
    <w:rsid w:val="00152C2B"/>
    <w:rsid w:val="00152F6B"/>
    <w:rsid w:val="001531CA"/>
    <w:rsid w:val="0015331E"/>
    <w:rsid w:val="0015332F"/>
    <w:rsid w:val="00153623"/>
    <w:rsid w:val="0015391D"/>
    <w:rsid w:val="0015503A"/>
    <w:rsid w:val="00155BC5"/>
    <w:rsid w:val="00156B08"/>
    <w:rsid w:val="00156FC2"/>
    <w:rsid w:val="00157FF4"/>
    <w:rsid w:val="001600EE"/>
    <w:rsid w:val="001602A0"/>
    <w:rsid w:val="00160821"/>
    <w:rsid w:val="00160B13"/>
    <w:rsid w:val="00160D65"/>
    <w:rsid w:val="001613AA"/>
    <w:rsid w:val="00161D2E"/>
    <w:rsid w:val="0016255C"/>
    <w:rsid w:val="00162A18"/>
    <w:rsid w:val="001633B4"/>
    <w:rsid w:val="0016361D"/>
    <w:rsid w:val="001638E2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70047"/>
    <w:rsid w:val="00170BEE"/>
    <w:rsid w:val="0017145D"/>
    <w:rsid w:val="00171553"/>
    <w:rsid w:val="00172416"/>
    <w:rsid w:val="00172457"/>
    <w:rsid w:val="001729AA"/>
    <w:rsid w:val="00172E42"/>
    <w:rsid w:val="001745AA"/>
    <w:rsid w:val="001745CC"/>
    <w:rsid w:val="00174DB6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5B6A"/>
    <w:rsid w:val="00186EF1"/>
    <w:rsid w:val="00187407"/>
    <w:rsid w:val="00187592"/>
    <w:rsid w:val="0019047D"/>
    <w:rsid w:val="00190B58"/>
    <w:rsid w:val="001914F9"/>
    <w:rsid w:val="00191C58"/>
    <w:rsid w:val="00191F9A"/>
    <w:rsid w:val="00192008"/>
    <w:rsid w:val="001922B7"/>
    <w:rsid w:val="001927CD"/>
    <w:rsid w:val="001934FE"/>
    <w:rsid w:val="00193E6E"/>
    <w:rsid w:val="00194E68"/>
    <w:rsid w:val="001952BD"/>
    <w:rsid w:val="00195ED3"/>
    <w:rsid w:val="0019737A"/>
    <w:rsid w:val="001973B4"/>
    <w:rsid w:val="001A0687"/>
    <w:rsid w:val="001A0E53"/>
    <w:rsid w:val="001A0E6A"/>
    <w:rsid w:val="001A1608"/>
    <w:rsid w:val="001A20AF"/>
    <w:rsid w:val="001A2564"/>
    <w:rsid w:val="001A2662"/>
    <w:rsid w:val="001A2CDC"/>
    <w:rsid w:val="001A2FA2"/>
    <w:rsid w:val="001A3316"/>
    <w:rsid w:val="001A33F4"/>
    <w:rsid w:val="001A3877"/>
    <w:rsid w:val="001A4F85"/>
    <w:rsid w:val="001A5E06"/>
    <w:rsid w:val="001A6857"/>
    <w:rsid w:val="001A6FAE"/>
    <w:rsid w:val="001A73F9"/>
    <w:rsid w:val="001A7E68"/>
    <w:rsid w:val="001B01B1"/>
    <w:rsid w:val="001B0E1A"/>
    <w:rsid w:val="001B0FC4"/>
    <w:rsid w:val="001B14D9"/>
    <w:rsid w:val="001B2017"/>
    <w:rsid w:val="001B2123"/>
    <w:rsid w:val="001B2D81"/>
    <w:rsid w:val="001B3680"/>
    <w:rsid w:val="001B369D"/>
    <w:rsid w:val="001B3FE6"/>
    <w:rsid w:val="001B447F"/>
    <w:rsid w:val="001B451D"/>
    <w:rsid w:val="001B4BCD"/>
    <w:rsid w:val="001B5985"/>
    <w:rsid w:val="001B67BC"/>
    <w:rsid w:val="001B6B9C"/>
    <w:rsid w:val="001B78A8"/>
    <w:rsid w:val="001C1536"/>
    <w:rsid w:val="001C21CA"/>
    <w:rsid w:val="001C24A1"/>
    <w:rsid w:val="001C2545"/>
    <w:rsid w:val="001C27FD"/>
    <w:rsid w:val="001C2B89"/>
    <w:rsid w:val="001C36DF"/>
    <w:rsid w:val="001C3920"/>
    <w:rsid w:val="001C4A8F"/>
    <w:rsid w:val="001C4C9D"/>
    <w:rsid w:val="001C77FB"/>
    <w:rsid w:val="001C7A15"/>
    <w:rsid w:val="001C7FBC"/>
    <w:rsid w:val="001D005D"/>
    <w:rsid w:val="001D1008"/>
    <w:rsid w:val="001D13F9"/>
    <w:rsid w:val="001D16F7"/>
    <w:rsid w:val="001D193A"/>
    <w:rsid w:val="001D19CE"/>
    <w:rsid w:val="001D1B87"/>
    <w:rsid w:val="001D1DFD"/>
    <w:rsid w:val="001D274D"/>
    <w:rsid w:val="001D298C"/>
    <w:rsid w:val="001D2D7A"/>
    <w:rsid w:val="001D3576"/>
    <w:rsid w:val="001D37C3"/>
    <w:rsid w:val="001D4973"/>
    <w:rsid w:val="001D507B"/>
    <w:rsid w:val="001D59FB"/>
    <w:rsid w:val="001D5D0A"/>
    <w:rsid w:val="001D623D"/>
    <w:rsid w:val="001D6AB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945"/>
    <w:rsid w:val="001E329F"/>
    <w:rsid w:val="001E3D45"/>
    <w:rsid w:val="001E428B"/>
    <w:rsid w:val="001E4A33"/>
    <w:rsid w:val="001E575D"/>
    <w:rsid w:val="001E57D2"/>
    <w:rsid w:val="001E57EB"/>
    <w:rsid w:val="001E59B9"/>
    <w:rsid w:val="001E5A14"/>
    <w:rsid w:val="001E5C7A"/>
    <w:rsid w:val="001E5D0A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3FC"/>
    <w:rsid w:val="001F2567"/>
    <w:rsid w:val="001F257A"/>
    <w:rsid w:val="001F2790"/>
    <w:rsid w:val="001F296D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746C"/>
    <w:rsid w:val="001F7500"/>
    <w:rsid w:val="00200D45"/>
    <w:rsid w:val="00200E86"/>
    <w:rsid w:val="00201330"/>
    <w:rsid w:val="002015C6"/>
    <w:rsid w:val="00202187"/>
    <w:rsid w:val="00202503"/>
    <w:rsid w:val="002036B3"/>
    <w:rsid w:val="00203E3D"/>
    <w:rsid w:val="002044F8"/>
    <w:rsid w:val="00204ACC"/>
    <w:rsid w:val="00204B33"/>
    <w:rsid w:val="00204EB4"/>
    <w:rsid w:val="0020516C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568B"/>
    <w:rsid w:val="002157B6"/>
    <w:rsid w:val="00216DC6"/>
    <w:rsid w:val="0021745F"/>
    <w:rsid w:val="00217471"/>
    <w:rsid w:val="002210BA"/>
    <w:rsid w:val="00221353"/>
    <w:rsid w:val="0022135F"/>
    <w:rsid w:val="00222047"/>
    <w:rsid w:val="00222A68"/>
    <w:rsid w:val="00222A76"/>
    <w:rsid w:val="00222D4D"/>
    <w:rsid w:val="00225C84"/>
    <w:rsid w:val="00226199"/>
    <w:rsid w:val="00226C69"/>
    <w:rsid w:val="00226ED5"/>
    <w:rsid w:val="0022712C"/>
    <w:rsid w:val="002272A4"/>
    <w:rsid w:val="0022787D"/>
    <w:rsid w:val="0023002D"/>
    <w:rsid w:val="002304C8"/>
    <w:rsid w:val="00232222"/>
    <w:rsid w:val="00232283"/>
    <w:rsid w:val="00232F96"/>
    <w:rsid w:val="0023348A"/>
    <w:rsid w:val="0023464E"/>
    <w:rsid w:val="0023477B"/>
    <w:rsid w:val="00234ABE"/>
    <w:rsid w:val="0023520A"/>
    <w:rsid w:val="00235FD8"/>
    <w:rsid w:val="00236B6C"/>
    <w:rsid w:val="00236E27"/>
    <w:rsid w:val="00237809"/>
    <w:rsid w:val="0024005F"/>
    <w:rsid w:val="00240E25"/>
    <w:rsid w:val="00241521"/>
    <w:rsid w:val="00241DD4"/>
    <w:rsid w:val="002425E4"/>
    <w:rsid w:val="002427B2"/>
    <w:rsid w:val="002429AF"/>
    <w:rsid w:val="00243D3B"/>
    <w:rsid w:val="0024536B"/>
    <w:rsid w:val="002458D2"/>
    <w:rsid w:val="00245981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AFC"/>
    <w:rsid w:val="00247B2E"/>
    <w:rsid w:val="00250061"/>
    <w:rsid w:val="0025032D"/>
    <w:rsid w:val="002506A4"/>
    <w:rsid w:val="002508CB"/>
    <w:rsid w:val="00251236"/>
    <w:rsid w:val="00251AA6"/>
    <w:rsid w:val="00251CFA"/>
    <w:rsid w:val="00251F3C"/>
    <w:rsid w:val="0025256D"/>
    <w:rsid w:val="002531DA"/>
    <w:rsid w:val="0025376F"/>
    <w:rsid w:val="00253845"/>
    <w:rsid w:val="00253D19"/>
    <w:rsid w:val="00253DD4"/>
    <w:rsid w:val="00254406"/>
    <w:rsid w:val="002549FF"/>
    <w:rsid w:val="00254A7F"/>
    <w:rsid w:val="002555AA"/>
    <w:rsid w:val="00255D1E"/>
    <w:rsid w:val="00255D73"/>
    <w:rsid w:val="00256408"/>
    <w:rsid w:val="00256BB8"/>
    <w:rsid w:val="00256F71"/>
    <w:rsid w:val="002576B4"/>
    <w:rsid w:val="00257D99"/>
    <w:rsid w:val="00260305"/>
    <w:rsid w:val="00260498"/>
    <w:rsid w:val="0026063A"/>
    <w:rsid w:val="00260706"/>
    <w:rsid w:val="002608EA"/>
    <w:rsid w:val="002611CE"/>
    <w:rsid w:val="002613BB"/>
    <w:rsid w:val="002624BD"/>
    <w:rsid w:val="00262549"/>
    <w:rsid w:val="00262722"/>
    <w:rsid w:val="00263C29"/>
    <w:rsid w:val="00264E0A"/>
    <w:rsid w:val="00265E40"/>
    <w:rsid w:val="00265EA6"/>
    <w:rsid w:val="002668ED"/>
    <w:rsid w:val="00266C50"/>
    <w:rsid w:val="00270E6E"/>
    <w:rsid w:val="00270ED2"/>
    <w:rsid w:val="00273B92"/>
    <w:rsid w:val="00273CEF"/>
    <w:rsid w:val="00274D1C"/>
    <w:rsid w:val="00274D38"/>
    <w:rsid w:val="0027573E"/>
    <w:rsid w:val="00276125"/>
    <w:rsid w:val="0027645E"/>
    <w:rsid w:val="00277279"/>
    <w:rsid w:val="00280584"/>
    <w:rsid w:val="00280C6F"/>
    <w:rsid w:val="00280DD6"/>
    <w:rsid w:val="00280E9A"/>
    <w:rsid w:val="0028111A"/>
    <w:rsid w:val="0028139A"/>
    <w:rsid w:val="0028139E"/>
    <w:rsid w:val="00282621"/>
    <w:rsid w:val="002832F9"/>
    <w:rsid w:val="00283C72"/>
    <w:rsid w:val="002855D2"/>
    <w:rsid w:val="00285717"/>
    <w:rsid w:val="00285C30"/>
    <w:rsid w:val="002865EE"/>
    <w:rsid w:val="00286836"/>
    <w:rsid w:val="002869FC"/>
    <w:rsid w:val="00286F5E"/>
    <w:rsid w:val="00287766"/>
    <w:rsid w:val="00287EA1"/>
    <w:rsid w:val="0029135A"/>
    <w:rsid w:val="002915CD"/>
    <w:rsid w:val="002919EB"/>
    <w:rsid w:val="002926EF"/>
    <w:rsid w:val="00292906"/>
    <w:rsid w:val="00292962"/>
    <w:rsid w:val="00292EBD"/>
    <w:rsid w:val="00293993"/>
    <w:rsid w:val="0029409B"/>
    <w:rsid w:val="00294D4B"/>
    <w:rsid w:val="002951ED"/>
    <w:rsid w:val="002968E8"/>
    <w:rsid w:val="00296D29"/>
    <w:rsid w:val="00297A4C"/>
    <w:rsid w:val="002A16DB"/>
    <w:rsid w:val="002A1D2C"/>
    <w:rsid w:val="002A1DA0"/>
    <w:rsid w:val="002A29EE"/>
    <w:rsid w:val="002A2AE5"/>
    <w:rsid w:val="002A2C52"/>
    <w:rsid w:val="002A2E1B"/>
    <w:rsid w:val="002A4141"/>
    <w:rsid w:val="002A4419"/>
    <w:rsid w:val="002A4BDC"/>
    <w:rsid w:val="002A50BD"/>
    <w:rsid w:val="002A64B6"/>
    <w:rsid w:val="002A73D7"/>
    <w:rsid w:val="002A743F"/>
    <w:rsid w:val="002A7F22"/>
    <w:rsid w:val="002B0526"/>
    <w:rsid w:val="002B28DA"/>
    <w:rsid w:val="002B2F5B"/>
    <w:rsid w:val="002B3741"/>
    <w:rsid w:val="002B3C19"/>
    <w:rsid w:val="002B3EC1"/>
    <w:rsid w:val="002B4268"/>
    <w:rsid w:val="002B48AA"/>
    <w:rsid w:val="002B4FBA"/>
    <w:rsid w:val="002B5DE7"/>
    <w:rsid w:val="002B6C53"/>
    <w:rsid w:val="002B6E20"/>
    <w:rsid w:val="002B6F9B"/>
    <w:rsid w:val="002C0699"/>
    <w:rsid w:val="002C0795"/>
    <w:rsid w:val="002C0D08"/>
    <w:rsid w:val="002C1BE1"/>
    <w:rsid w:val="002C1F57"/>
    <w:rsid w:val="002C3186"/>
    <w:rsid w:val="002C3941"/>
    <w:rsid w:val="002C432E"/>
    <w:rsid w:val="002C4EB3"/>
    <w:rsid w:val="002C5C9A"/>
    <w:rsid w:val="002C67A6"/>
    <w:rsid w:val="002C6CD1"/>
    <w:rsid w:val="002C6D1D"/>
    <w:rsid w:val="002C791F"/>
    <w:rsid w:val="002D0248"/>
    <w:rsid w:val="002D04B0"/>
    <w:rsid w:val="002D08AF"/>
    <w:rsid w:val="002D09CD"/>
    <w:rsid w:val="002D14AE"/>
    <w:rsid w:val="002D1ED6"/>
    <w:rsid w:val="002D26C1"/>
    <w:rsid w:val="002D296C"/>
    <w:rsid w:val="002D2DCD"/>
    <w:rsid w:val="002D391E"/>
    <w:rsid w:val="002D461C"/>
    <w:rsid w:val="002D46E6"/>
    <w:rsid w:val="002D5154"/>
    <w:rsid w:val="002D588A"/>
    <w:rsid w:val="002D5A1E"/>
    <w:rsid w:val="002D5A3D"/>
    <w:rsid w:val="002D62DD"/>
    <w:rsid w:val="002D6CAC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421C"/>
    <w:rsid w:val="002E4362"/>
    <w:rsid w:val="002E6649"/>
    <w:rsid w:val="002E67A7"/>
    <w:rsid w:val="002E7025"/>
    <w:rsid w:val="002E76A6"/>
    <w:rsid w:val="002E7C77"/>
    <w:rsid w:val="002F04A7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ADE"/>
    <w:rsid w:val="002F3C1F"/>
    <w:rsid w:val="002F3C8F"/>
    <w:rsid w:val="002F403F"/>
    <w:rsid w:val="002F440A"/>
    <w:rsid w:val="002F5ECB"/>
    <w:rsid w:val="002F6238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7DE"/>
    <w:rsid w:val="003042C9"/>
    <w:rsid w:val="00304992"/>
    <w:rsid w:val="00305B6A"/>
    <w:rsid w:val="00305BAD"/>
    <w:rsid w:val="003061AD"/>
    <w:rsid w:val="00306313"/>
    <w:rsid w:val="00306CD8"/>
    <w:rsid w:val="00307065"/>
    <w:rsid w:val="00307902"/>
    <w:rsid w:val="00307F6D"/>
    <w:rsid w:val="00311695"/>
    <w:rsid w:val="003119DF"/>
    <w:rsid w:val="00312215"/>
    <w:rsid w:val="00312242"/>
    <w:rsid w:val="00312ACB"/>
    <w:rsid w:val="00312BD9"/>
    <w:rsid w:val="0031369D"/>
    <w:rsid w:val="0031451C"/>
    <w:rsid w:val="003154C3"/>
    <w:rsid w:val="00315730"/>
    <w:rsid w:val="0031667A"/>
    <w:rsid w:val="00320161"/>
    <w:rsid w:val="0032060A"/>
    <w:rsid w:val="0032095D"/>
    <w:rsid w:val="00320C79"/>
    <w:rsid w:val="00321860"/>
    <w:rsid w:val="00321BC0"/>
    <w:rsid w:val="003223CA"/>
    <w:rsid w:val="0032289D"/>
    <w:rsid w:val="00322EF5"/>
    <w:rsid w:val="00323359"/>
    <w:rsid w:val="00323BF5"/>
    <w:rsid w:val="00324010"/>
    <w:rsid w:val="00324E40"/>
    <w:rsid w:val="00324F4E"/>
    <w:rsid w:val="0032500A"/>
    <w:rsid w:val="003255CC"/>
    <w:rsid w:val="00325609"/>
    <w:rsid w:val="00325EFA"/>
    <w:rsid w:val="00326013"/>
    <w:rsid w:val="003270A2"/>
    <w:rsid w:val="003275B8"/>
    <w:rsid w:val="00331AFC"/>
    <w:rsid w:val="0033277D"/>
    <w:rsid w:val="0033335E"/>
    <w:rsid w:val="003334CF"/>
    <w:rsid w:val="00334C5A"/>
    <w:rsid w:val="00334C71"/>
    <w:rsid w:val="00335983"/>
    <w:rsid w:val="003364DE"/>
    <w:rsid w:val="00337AA3"/>
    <w:rsid w:val="00337F9F"/>
    <w:rsid w:val="003402FF"/>
    <w:rsid w:val="003405AC"/>
    <w:rsid w:val="00340678"/>
    <w:rsid w:val="00341AD1"/>
    <w:rsid w:val="00342C3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6773"/>
    <w:rsid w:val="00346B3F"/>
    <w:rsid w:val="00347A9D"/>
    <w:rsid w:val="00347FF5"/>
    <w:rsid w:val="00350361"/>
    <w:rsid w:val="00350582"/>
    <w:rsid w:val="00350625"/>
    <w:rsid w:val="003508A6"/>
    <w:rsid w:val="003516B4"/>
    <w:rsid w:val="003525AF"/>
    <w:rsid w:val="003534CC"/>
    <w:rsid w:val="00353F73"/>
    <w:rsid w:val="0035469D"/>
    <w:rsid w:val="00354C24"/>
    <w:rsid w:val="00354DDD"/>
    <w:rsid w:val="003561D7"/>
    <w:rsid w:val="003561EE"/>
    <w:rsid w:val="003562FE"/>
    <w:rsid w:val="00356862"/>
    <w:rsid w:val="00357342"/>
    <w:rsid w:val="00360607"/>
    <w:rsid w:val="00360AFA"/>
    <w:rsid w:val="00360D6B"/>
    <w:rsid w:val="003619B1"/>
    <w:rsid w:val="00361BBE"/>
    <w:rsid w:val="0036214E"/>
    <w:rsid w:val="00362A5B"/>
    <w:rsid w:val="0036348E"/>
    <w:rsid w:val="003634E3"/>
    <w:rsid w:val="00364976"/>
    <w:rsid w:val="003649F9"/>
    <w:rsid w:val="00364EF2"/>
    <w:rsid w:val="003650DF"/>
    <w:rsid w:val="00366DEF"/>
    <w:rsid w:val="00367B4C"/>
    <w:rsid w:val="00367C23"/>
    <w:rsid w:val="00370DC7"/>
    <w:rsid w:val="0037166D"/>
    <w:rsid w:val="003718C4"/>
    <w:rsid w:val="00374141"/>
    <w:rsid w:val="00374AE0"/>
    <w:rsid w:val="00375794"/>
    <w:rsid w:val="003758D7"/>
    <w:rsid w:val="00375965"/>
    <w:rsid w:val="0037672F"/>
    <w:rsid w:val="003767C9"/>
    <w:rsid w:val="00376B8F"/>
    <w:rsid w:val="00377314"/>
    <w:rsid w:val="003773E0"/>
    <w:rsid w:val="00377C64"/>
    <w:rsid w:val="00377E1B"/>
    <w:rsid w:val="003803F7"/>
    <w:rsid w:val="00381355"/>
    <w:rsid w:val="00384586"/>
    <w:rsid w:val="0038479C"/>
    <w:rsid w:val="00384BC3"/>
    <w:rsid w:val="0038508F"/>
    <w:rsid w:val="0038588E"/>
    <w:rsid w:val="00386BCA"/>
    <w:rsid w:val="003871AF"/>
    <w:rsid w:val="00387D1A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4064"/>
    <w:rsid w:val="00394433"/>
    <w:rsid w:val="00394447"/>
    <w:rsid w:val="00396B2D"/>
    <w:rsid w:val="00396FFE"/>
    <w:rsid w:val="00397325"/>
    <w:rsid w:val="00397636"/>
    <w:rsid w:val="00397AE7"/>
    <w:rsid w:val="003A067D"/>
    <w:rsid w:val="003A10CF"/>
    <w:rsid w:val="003A11A0"/>
    <w:rsid w:val="003A130F"/>
    <w:rsid w:val="003A188D"/>
    <w:rsid w:val="003A1916"/>
    <w:rsid w:val="003A3FA0"/>
    <w:rsid w:val="003A41DF"/>
    <w:rsid w:val="003A42D2"/>
    <w:rsid w:val="003A4858"/>
    <w:rsid w:val="003A48F7"/>
    <w:rsid w:val="003A65C9"/>
    <w:rsid w:val="003A6A07"/>
    <w:rsid w:val="003A6D2A"/>
    <w:rsid w:val="003A6F2C"/>
    <w:rsid w:val="003A7A4B"/>
    <w:rsid w:val="003A7A7E"/>
    <w:rsid w:val="003B0429"/>
    <w:rsid w:val="003B0764"/>
    <w:rsid w:val="003B0C8D"/>
    <w:rsid w:val="003B17BC"/>
    <w:rsid w:val="003B2476"/>
    <w:rsid w:val="003B3729"/>
    <w:rsid w:val="003B387B"/>
    <w:rsid w:val="003B3A9C"/>
    <w:rsid w:val="003B3C0B"/>
    <w:rsid w:val="003B40CC"/>
    <w:rsid w:val="003B4183"/>
    <w:rsid w:val="003B468F"/>
    <w:rsid w:val="003B4BF0"/>
    <w:rsid w:val="003B4C5D"/>
    <w:rsid w:val="003B5142"/>
    <w:rsid w:val="003B7139"/>
    <w:rsid w:val="003B74F3"/>
    <w:rsid w:val="003C1106"/>
    <w:rsid w:val="003C132F"/>
    <w:rsid w:val="003C134F"/>
    <w:rsid w:val="003C3574"/>
    <w:rsid w:val="003C40A7"/>
    <w:rsid w:val="003C670F"/>
    <w:rsid w:val="003C7C49"/>
    <w:rsid w:val="003D001A"/>
    <w:rsid w:val="003D0797"/>
    <w:rsid w:val="003D12D7"/>
    <w:rsid w:val="003D149D"/>
    <w:rsid w:val="003D1B18"/>
    <w:rsid w:val="003D219A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F18"/>
    <w:rsid w:val="003D715F"/>
    <w:rsid w:val="003D765D"/>
    <w:rsid w:val="003D7963"/>
    <w:rsid w:val="003D7BBF"/>
    <w:rsid w:val="003E0247"/>
    <w:rsid w:val="003E053A"/>
    <w:rsid w:val="003E066A"/>
    <w:rsid w:val="003E0925"/>
    <w:rsid w:val="003E094E"/>
    <w:rsid w:val="003E12F8"/>
    <w:rsid w:val="003E1547"/>
    <w:rsid w:val="003E1A05"/>
    <w:rsid w:val="003E29E0"/>
    <w:rsid w:val="003E362D"/>
    <w:rsid w:val="003E4AEA"/>
    <w:rsid w:val="003E5354"/>
    <w:rsid w:val="003E5857"/>
    <w:rsid w:val="003E65F0"/>
    <w:rsid w:val="003E69DA"/>
    <w:rsid w:val="003E7D7D"/>
    <w:rsid w:val="003F080E"/>
    <w:rsid w:val="003F0A75"/>
    <w:rsid w:val="003F0B51"/>
    <w:rsid w:val="003F0BB1"/>
    <w:rsid w:val="003F0D62"/>
    <w:rsid w:val="003F148C"/>
    <w:rsid w:val="003F2AAA"/>
    <w:rsid w:val="003F2F9C"/>
    <w:rsid w:val="003F310D"/>
    <w:rsid w:val="003F33DE"/>
    <w:rsid w:val="003F3D59"/>
    <w:rsid w:val="003F41F1"/>
    <w:rsid w:val="003F42BC"/>
    <w:rsid w:val="003F4FC1"/>
    <w:rsid w:val="003F5AF8"/>
    <w:rsid w:val="003F60D0"/>
    <w:rsid w:val="003F6D37"/>
    <w:rsid w:val="003F74CC"/>
    <w:rsid w:val="003F753A"/>
    <w:rsid w:val="003F79CA"/>
    <w:rsid w:val="00400279"/>
    <w:rsid w:val="00400849"/>
    <w:rsid w:val="004008A8"/>
    <w:rsid w:val="004012E8"/>
    <w:rsid w:val="00401480"/>
    <w:rsid w:val="004024D2"/>
    <w:rsid w:val="0040276A"/>
    <w:rsid w:val="00402832"/>
    <w:rsid w:val="0040370C"/>
    <w:rsid w:val="004047C4"/>
    <w:rsid w:val="0040536B"/>
    <w:rsid w:val="00405396"/>
    <w:rsid w:val="00405638"/>
    <w:rsid w:val="00406F37"/>
    <w:rsid w:val="004075F6"/>
    <w:rsid w:val="00407A1E"/>
    <w:rsid w:val="00407C9F"/>
    <w:rsid w:val="004103FE"/>
    <w:rsid w:val="004106E0"/>
    <w:rsid w:val="00411643"/>
    <w:rsid w:val="00411BA3"/>
    <w:rsid w:val="00411BCD"/>
    <w:rsid w:val="004124C3"/>
    <w:rsid w:val="004142D5"/>
    <w:rsid w:val="00414AFC"/>
    <w:rsid w:val="00415485"/>
    <w:rsid w:val="00415650"/>
    <w:rsid w:val="0041590B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A1C"/>
    <w:rsid w:val="00422FA3"/>
    <w:rsid w:val="0042310E"/>
    <w:rsid w:val="00423AA5"/>
    <w:rsid w:val="00423AF6"/>
    <w:rsid w:val="004247C0"/>
    <w:rsid w:val="00424EA9"/>
    <w:rsid w:val="004251FF"/>
    <w:rsid w:val="004252CD"/>
    <w:rsid w:val="0042685C"/>
    <w:rsid w:val="00426893"/>
    <w:rsid w:val="004271BE"/>
    <w:rsid w:val="00427246"/>
    <w:rsid w:val="004279AB"/>
    <w:rsid w:val="00427C88"/>
    <w:rsid w:val="00430469"/>
    <w:rsid w:val="00430ABA"/>
    <w:rsid w:val="00431D9E"/>
    <w:rsid w:val="004334F5"/>
    <w:rsid w:val="004336A6"/>
    <w:rsid w:val="00433E3A"/>
    <w:rsid w:val="0043418F"/>
    <w:rsid w:val="00435772"/>
    <w:rsid w:val="00435A90"/>
    <w:rsid w:val="00435FF7"/>
    <w:rsid w:val="0043631A"/>
    <w:rsid w:val="004366F2"/>
    <w:rsid w:val="0043712F"/>
    <w:rsid w:val="004372FD"/>
    <w:rsid w:val="00437731"/>
    <w:rsid w:val="00440846"/>
    <w:rsid w:val="00440E42"/>
    <w:rsid w:val="004426F4"/>
    <w:rsid w:val="00443299"/>
    <w:rsid w:val="0044354B"/>
    <w:rsid w:val="00443BA6"/>
    <w:rsid w:val="00443D63"/>
    <w:rsid w:val="00444A19"/>
    <w:rsid w:val="0044507B"/>
    <w:rsid w:val="0044594D"/>
    <w:rsid w:val="0044616C"/>
    <w:rsid w:val="0044656E"/>
    <w:rsid w:val="00446832"/>
    <w:rsid w:val="004468E5"/>
    <w:rsid w:val="00446AC4"/>
    <w:rsid w:val="00450D1E"/>
    <w:rsid w:val="00451D54"/>
    <w:rsid w:val="00453AC7"/>
    <w:rsid w:val="00453FD5"/>
    <w:rsid w:val="00454A23"/>
    <w:rsid w:val="00454B9D"/>
    <w:rsid w:val="00454CD5"/>
    <w:rsid w:val="0045532D"/>
    <w:rsid w:val="0045588D"/>
    <w:rsid w:val="00455F48"/>
    <w:rsid w:val="00456298"/>
    <w:rsid w:val="00460EAB"/>
    <w:rsid w:val="0046120D"/>
    <w:rsid w:val="00461FA9"/>
    <w:rsid w:val="00462453"/>
    <w:rsid w:val="0046299E"/>
    <w:rsid w:val="00462D62"/>
    <w:rsid w:val="0046453C"/>
    <w:rsid w:val="0046600A"/>
    <w:rsid w:val="0046628D"/>
    <w:rsid w:val="0046668F"/>
    <w:rsid w:val="00467328"/>
    <w:rsid w:val="004674DE"/>
    <w:rsid w:val="00470084"/>
    <w:rsid w:val="004701F5"/>
    <w:rsid w:val="0047035D"/>
    <w:rsid w:val="004706F1"/>
    <w:rsid w:val="00471A1A"/>
    <w:rsid w:val="00471E0C"/>
    <w:rsid w:val="0047288A"/>
    <w:rsid w:val="00472B79"/>
    <w:rsid w:val="00473370"/>
    <w:rsid w:val="004734B2"/>
    <w:rsid w:val="00473A0C"/>
    <w:rsid w:val="004753B4"/>
    <w:rsid w:val="0047643A"/>
    <w:rsid w:val="004767F9"/>
    <w:rsid w:val="00476930"/>
    <w:rsid w:val="00476C96"/>
    <w:rsid w:val="00477087"/>
    <w:rsid w:val="00477540"/>
    <w:rsid w:val="00480AA7"/>
    <w:rsid w:val="00480D09"/>
    <w:rsid w:val="004822F7"/>
    <w:rsid w:val="00482943"/>
    <w:rsid w:val="00482AA8"/>
    <w:rsid w:val="00483CA2"/>
    <w:rsid w:val="00483E73"/>
    <w:rsid w:val="0048426B"/>
    <w:rsid w:val="0048450C"/>
    <w:rsid w:val="00484D77"/>
    <w:rsid w:val="0048586A"/>
    <w:rsid w:val="00485A12"/>
    <w:rsid w:val="00485FBC"/>
    <w:rsid w:val="00486135"/>
    <w:rsid w:val="00487E37"/>
    <w:rsid w:val="00487E3C"/>
    <w:rsid w:val="004906C5"/>
    <w:rsid w:val="00490B42"/>
    <w:rsid w:val="004913DC"/>
    <w:rsid w:val="00491E6D"/>
    <w:rsid w:val="004922A9"/>
    <w:rsid w:val="00492640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E1D"/>
    <w:rsid w:val="00497C8F"/>
    <w:rsid w:val="00497C97"/>
    <w:rsid w:val="00497D0C"/>
    <w:rsid w:val="004A0B5C"/>
    <w:rsid w:val="004A0BCB"/>
    <w:rsid w:val="004A11AD"/>
    <w:rsid w:val="004A140C"/>
    <w:rsid w:val="004A2632"/>
    <w:rsid w:val="004A2A62"/>
    <w:rsid w:val="004A2F00"/>
    <w:rsid w:val="004A31C5"/>
    <w:rsid w:val="004A398B"/>
    <w:rsid w:val="004A432D"/>
    <w:rsid w:val="004A4BB4"/>
    <w:rsid w:val="004A5524"/>
    <w:rsid w:val="004A5A50"/>
    <w:rsid w:val="004A5AE0"/>
    <w:rsid w:val="004A5D7F"/>
    <w:rsid w:val="004A6105"/>
    <w:rsid w:val="004A7452"/>
    <w:rsid w:val="004A7635"/>
    <w:rsid w:val="004B0258"/>
    <w:rsid w:val="004B0E1A"/>
    <w:rsid w:val="004B190B"/>
    <w:rsid w:val="004B2395"/>
    <w:rsid w:val="004B33E7"/>
    <w:rsid w:val="004B3592"/>
    <w:rsid w:val="004B44E8"/>
    <w:rsid w:val="004B489B"/>
    <w:rsid w:val="004B4F5E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82E"/>
    <w:rsid w:val="004C0CB0"/>
    <w:rsid w:val="004C0F71"/>
    <w:rsid w:val="004C1C81"/>
    <w:rsid w:val="004C1D9F"/>
    <w:rsid w:val="004C236A"/>
    <w:rsid w:val="004C2B70"/>
    <w:rsid w:val="004C2CFA"/>
    <w:rsid w:val="004C2E07"/>
    <w:rsid w:val="004C380F"/>
    <w:rsid w:val="004C474F"/>
    <w:rsid w:val="004C4AEC"/>
    <w:rsid w:val="004C4F1D"/>
    <w:rsid w:val="004C55A2"/>
    <w:rsid w:val="004D1046"/>
    <w:rsid w:val="004D164B"/>
    <w:rsid w:val="004D19D0"/>
    <w:rsid w:val="004D1C96"/>
    <w:rsid w:val="004D226C"/>
    <w:rsid w:val="004D2719"/>
    <w:rsid w:val="004D2B66"/>
    <w:rsid w:val="004D2C5B"/>
    <w:rsid w:val="004D305B"/>
    <w:rsid w:val="004D3531"/>
    <w:rsid w:val="004D35F9"/>
    <w:rsid w:val="004D4434"/>
    <w:rsid w:val="004D4496"/>
    <w:rsid w:val="004D49D3"/>
    <w:rsid w:val="004D4D02"/>
    <w:rsid w:val="004D5B0E"/>
    <w:rsid w:val="004D7462"/>
    <w:rsid w:val="004D76ED"/>
    <w:rsid w:val="004D7CE8"/>
    <w:rsid w:val="004D7D31"/>
    <w:rsid w:val="004D7E03"/>
    <w:rsid w:val="004E1873"/>
    <w:rsid w:val="004E28B6"/>
    <w:rsid w:val="004E2EEB"/>
    <w:rsid w:val="004E3094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214A"/>
    <w:rsid w:val="004F2CC3"/>
    <w:rsid w:val="004F2D91"/>
    <w:rsid w:val="004F4E27"/>
    <w:rsid w:val="004F5EC5"/>
    <w:rsid w:val="004F5F9E"/>
    <w:rsid w:val="004F6629"/>
    <w:rsid w:val="004F68BF"/>
    <w:rsid w:val="004F6B8D"/>
    <w:rsid w:val="004F6C80"/>
    <w:rsid w:val="004F7000"/>
    <w:rsid w:val="004F7577"/>
    <w:rsid w:val="004F7597"/>
    <w:rsid w:val="004F7CF6"/>
    <w:rsid w:val="004F7E53"/>
    <w:rsid w:val="00500AF0"/>
    <w:rsid w:val="0050149C"/>
    <w:rsid w:val="005014AA"/>
    <w:rsid w:val="005016C5"/>
    <w:rsid w:val="00501BBD"/>
    <w:rsid w:val="00501E8B"/>
    <w:rsid w:val="005022E8"/>
    <w:rsid w:val="00502C57"/>
    <w:rsid w:val="00503268"/>
    <w:rsid w:val="005032F9"/>
    <w:rsid w:val="00503408"/>
    <w:rsid w:val="00503EC1"/>
    <w:rsid w:val="005059EA"/>
    <w:rsid w:val="00505B48"/>
    <w:rsid w:val="005065E7"/>
    <w:rsid w:val="0050687F"/>
    <w:rsid w:val="005068B0"/>
    <w:rsid w:val="00506F19"/>
    <w:rsid w:val="00507464"/>
    <w:rsid w:val="00507736"/>
    <w:rsid w:val="00507F43"/>
    <w:rsid w:val="00510164"/>
    <w:rsid w:val="00510431"/>
    <w:rsid w:val="00510641"/>
    <w:rsid w:val="00510DE5"/>
    <w:rsid w:val="00510E92"/>
    <w:rsid w:val="005113D5"/>
    <w:rsid w:val="00511798"/>
    <w:rsid w:val="00511C8C"/>
    <w:rsid w:val="00511E1A"/>
    <w:rsid w:val="005130AA"/>
    <w:rsid w:val="00513EE2"/>
    <w:rsid w:val="00513FE4"/>
    <w:rsid w:val="005145B3"/>
    <w:rsid w:val="005147DA"/>
    <w:rsid w:val="00514ED4"/>
    <w:rsid w:val="00515905"/>
    <w:rsid w:val="00515B45"/>
    <w:rsid w:val="00515D43"/>
    <w:rsid w:val="0051642D"/>
    <w:rsid w:val="00516955"/>
    <w:rsid w:val="00516F22"/>
    <w:rsid w:val="005176E5"/>
    <w:rsid w:val="00517CE9"/>
    <w:rsid w:val="00520E45"/>
    <w:rsid w:val="005211BD"/>
    <w:rsid w:val="00521473"/>
    <w:rsid w:val="00521DE7"/>
    <w:rsid w:val="00522670"/>
    <w:rsid w:val="00522773"/>
    <w:rsid w:val="005227E2"/>
    <w:rsid w:val="00523C41"/>
    <w:rsid w:val="00525527"/>
    <w:rsid w:val="005258AC"/>
    <w:rsid w:val="00525C09"/>
    <w:rsid w:val="00526C54"/>
    <w:rsid w:val="0052739A"/>
    <w:rsid w:val="00527721"/>
    <w:rsid w:val="00527D58"/>
    <w:rsid w:val="0053007E"/>
    <w:rsid w:val="00530119"/>
    <w:rsid w:val="00530300"/>
    <w:rsid w:val="005306F8"/>
    <w:rsid w:val="00531AF2"/>
    <w:rsid w:val="00531C82"/>
    <w:rsid w:val="005322F7"/>
    <w:rsid w:val="005323AE"/>
    <w:rsid w:val="00532AF9"/>
    <w:rsid w:val="00532EF1"/>
    <w:rsid w:val="00532FB2"/>
    <w:rsid w:val="0053408B"/>
    <w:rsid w:val="00535379"/>
    <w:rsid w:val="0053618D"/>
    <w:rsid w:val="00536199"/>
    <w:rsid w:val="00536C8B"/>
    <w:rsid w:val="005375D3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34F3"/>
    <w:rsid w:val="005439E6"/>
    <w:rsid w:val="00545904"/>
    <w:rsid w:val="00545B7D"/>
    <w:rsid w:val="00545F6D"/>
    <w:rsid w:val="005460B8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188C"/>
    <w:rsid w:val="00551BD7"/>
    <w:rsid w:val="00551E8D"/>
    <w:rsid w:val="00552FD7"/>
    <w:rsid w:val="00553D69"/>
    <w:rsid w:val="00554B48"/>
    <w:rsid w:val="0055559B"/>
    <w:rsid w:val="005557D7"/>
    <w:rsid w:val="00555C90"/>
    <w:rsid w:val="005570B8"/>
    <w:rsid w:val="00560507"/>
    <w:rsid w:val="00560533"/>
    <w:rsid w:val="00560E10"/>
    <w:rsid w:val="00561100"/>
    <w:rsid w:val="0056124B"/>
    <w:rsid w:val="0056136A"/>
    <w:rsid w:val="005615D1"/>
    <w:rsid w:val="005616F9"/>
    <w:rsid w:val="00562100"/>
    <w:rsid w:val="005629C0"/>
    <w:rsid w:val="0056308A"/>
    <w:rsid w:val="00563110"/>
    <w:rsid w:val="005631FF"/>
    <w:rsid w:val="00563306"/>
    <w:rsid w:val="005643E4"/>
    <w:rsid w:val="005644DB"/>
    <w:rsid w:val="0056573F"/>
    <w:rsid w:val="00565997"/>
    <w:rsid w:val="00567B08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EC4"/>
    <w:rsid w:val="00583A88"/>
    <w:rsid w:val="00584612"/>
    <w:rsid w:val="00584EDC"/>
    <w:rsid w:val="0058557F"/>
    <w:rsid w:val="00590087"/>
    <w:rsid w:val="005909B4"/>
    <w:rsid w:val="005911E1"/>
    <w:rsid w:val="005918CD"/>
    <w:rsid w:val="00591E8D"/>
    <w:rsid w:val="00592F71"/>
    <w:rsid w:val="005938DF"/>
    <w:rsid w:val="0059398C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074"/>
    <w:rsid w:val="00596146"/>
    <w:rsid w:val="0059650E"/>
    <w:rsid w:val="00596604"/>
    <w:rsid w:val="00596BA1"/>
    <w:rsid w:val="005976D5"/>
    <w:rsid w:val="005978CA"/>
    <w:rsid w:val="00597A81"/>
    <w:rsid w:val="00597C45"/>
    <w:rsid w:val="005A05CD"/>
    <w:rsid w:val="005A06E0"/>
    <w:rsid w:val="005A0BF1"/>
    <w:rsid w:val="005A17E7"/>
    <w:rsid w:val="005A26B7"/>
    <w:rsid w:val="005A2DF9"/>
    <w:rsid w:val="005A301E"/>
    <w:rsid w:val="005A410A"/>
    <w:rsid w:val="005A4E88"/>
    <w:rsid w:val="005A527F"/>
    <w:rsid w:val="005A541F"/>
    <w:rsid w:val="005A5C3B"/>
    <w:rsid w:val="005A5EE2"/>
    <w:rsid w:val="005A6CC5"/>
    <w:rsid w:val="005A70BD"/>
    <w:rsid w:val="005A719D"/>
    <w:rsid w:val="005A7437"/>
    <w:rsid w:val="005A75D2"/>
    <w:rsid w:val="005B0532"/>
    <w:rsid w:val="005B0BFB"/>
    <w:rsid w:val="005B0EC9"/>
    <w:rsid w:val="005B20FB"/>
    <w:rsid w:val="005B2E35"/>
    <w:rsid w:val="005B3268"/>
    <w:rsid w:val="005B3BEF"/>
    <w:rsid w:val="005B40A7"/>
    <w:rsid w:val="005B4446"/>
    <w:rsid w:val="005B566F"/>
    <w:rsid w:val="005B61C5"/>
    <w:rsid w:val="005B7DA3"/>
    <w:rsid w:val="005C0C69"/>
    <w:rsid w:val="005C0C74"/>
    <w:rsid w:val="005C0D82"/>
    <w:rsid w:val="005C0E3F"/>
    <w:rsid w:val="005C1274"/>
    <w:rsid w:val="005C1F72"/>
    <w:rsid w:val="005C2A33"/>
    <w:rsid w:val="005C30BB"/>
    <w:rsid w:val="005C3320"/>
    <w:rsid w:val="005C33E0"/>
    <w:rsid w:val="005C3843"/>
    <w:rsid w:val="005C40E3"/>
    <w:rsid w:val="005C477A"/>
    <w:rsid w:val="005C495D"/>
    <w:rsid w:val="005C4C9B"/>
    <w:rsid w:val="005C4F5A"/>
    <w:rsid w:val="005C4F80"/>
    <w:rsid w:val="005C5AEA"/>
    <w:rsid w:val="005C5BBD"/>
    <w:rsid w:val="005C5F42"/>
    <w:rsid w:val="005C6003"/>
    <w:rsid w:val="005C74F5"/>
    <w:rsid w:val="005C7B3B"/>
    <w:rsid w:val="005C7FBD"/>
    <w:rsid w:val="005D05C6"/>
    <w:rsid w:val="005D1A35"/>
    <w:rsid w:val="005D1F52"/>
    <w:rsid w:val="005D2956"/>
    <w:rsid w:val="005D2E68"/>
    <w:rsid w:val="005D452C"/>
    <w:rsid w:val="005D4736"/>
    <w:rsid w:val="005D4DA0"/>
    <w:rsid w:val="005D4EA7"/>
    <w:rsid w:val="005D5A9C"/>
    <w:rsid w:val="005D5DFB"/>
    <w:rsid w:val="005D5FDC"/>
    <w:rsid w:val="005D7202"/>
    <w:rsid w:val="005D76F1"/>
    <w:rsid w:val="005D7D18"/>
    <w:rsid w:val="005E02B5"/>
    <w:rsid w:val="005E0C74"/>
    <w:rsid w:val="005E105A"/>
    <w:rsid w:val="005E1730"/>
    <w:rsid w:val="005E1743"/>
    <w:rsid w:val="005E261B"/>
    <w:rsid w:val="005E2AB1"/>
    <w:rsid w:val="005E34B3"/>
    <w:rsid w:val="005E3682"/>
    <w:rsid w:val="005E38B9"/>
    <w:rsid w:val="005E3F73"/>
    <w:rsid w:val="005E52FA"/>
    <w:rsid w:val="005E54A0"/>
    <w:rsid w:val="005E55AF"/>
    <w:rsid w:val="005E55B1"/>
    <w:rsid w:val="005E5C52"/>
    <w:rsid w:val="005E5FC7"/>
    <w:rsid w:val="005E66FA"/>
    <w:rsid w:val="005E6739"/>
    <w:rsid w:val="005E6BB1"/>
    <w:rsid w:val="005E751E"/>
    <w:rsid w:val="005E78C3"/>
    <w:rsid w:val="005E7EB0"/>
    <w:rsid w:val="005F01C1"/>
    <w:rsid w:val="005F0858"/>
    <w:rsid w:val="005F0D23"/>
    <w:rsid w:val="005F1E7B"/>
    <w:rsid w:val="005F2718"/>
    <w:rsid w:val="005F2AB1"/>
    <w:rsid w:val="005F2B13"/>
    <w:rsid w:val="005F2C35"/>
    <w:rsid w:val="005F339D"/>
    <w:rsid w:val="005F352B"/>
    <w:rsid w:val="005F3E75"/>
    <w:rsid w:val="005F3FA3"/>
    <w:rsid w:val="005F4243"/>
    <w:rsid w:val="005F5F1A"/>
    <w:rsid w:val="005F6518"/>
    <w:rsid w:val="005F73CF"/>
    <w:rsid w:val="005F7ACB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485F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960"/>
    <w:rsid w:val="00611F53"/>
    <w:rsid w:val="00612835"/>
    <w:rsid w:val="00612F95"/>
    <w:rsid w:val="006133A5"/>
    <w:rsid w:val="00613755"/>
    <w:rsid w:val="00614E95"/>
    <w:rsid w:val="00614EC5"/>
    <w:rsid w:val="0061506B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D57"/>
    <w:rsid w:val="00621240"/>
    <w:rsid w:val="006217BF"/>
    <w:rsid w:val="0062257E"/>
    <w:rsid w:val="00622CF6"/>
    <w:rsid w:val="00623307"/>
    <w:rsid w:val="00623E2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1EED"/>
    <w:rsid w:val="00632337"/>
    <w:rsid w:val="006326C0"/>
    <w:rsid w:val="00632A7A"/>
    <w:rsid w:val="00632AF2"/>
    <w:rsid w:val="00633B64"/>
    <w:rsid w:val="00634437"/>
    <w:rsid w:val="0063467B"/>
    <w:rsid w:val="00634724"/>
    <w:rsid w:val="00635B25"/>
    <w:rsid w:val="0063649E"/>
    <w:rsid w:val="00636565"/>
    <w:rsid w:val="00636594"/>
    <w:rsid w:val="00636747"/>
    <w:rsid w:val="006374FB"/>
    <w:rsid w:val="00637761"/>
    <w:rsid w:val="00641102"/>
    <w:rsid w:val="006411D2"/>
    <w:rsid w:val="006416A3"/>
    <w:rsid w:val="00641F75"/>
    <w:rsid w:val="006422B4"/>
    <w:rsid w:val="00642421"/>
    <w:rsid w:val="006424A6"/>
    <w:rsid w:val="006427F5"/>
    <w:rsid w:val="00643D47"/>
    <w:rsid w:val="006450E5"/>
    <w:rsid w:val="006451B9"/>
    <w:rsid w:val="00645730"/>
    <w:rsid w:val="00645B3C"/>
    <w:rsid w:val="0064627A"/>
    <w:rsid w:val="00647BF3"/>
    <w:rsid w:val="00650939"/>
    <w:rsid w:val="00650AE2"/>
    <w:rsid w:val="00651047"/>
    <w:rsid w:val="006512EB"/>
    <w:rsid w:val="00651EB3"/>
    <w:rsid w:val="0065250F"/>
    <w:rsid w:val="00652EE5"/>
    <w:rsid w:val="00653368"/>
    <w:rsid w:val="00654220"/>
    <w:rsid w:val="006545BE"/>
    <w:rsid w:val="00655C39"/>
    <w:rsid w:val="00655FB4"/>
    <w:rsid w:val="00656A75"/>
    <w:rsid w:val="00657CA2"/>
    <w:rsid w:val="00661B09"/>
    <w:rsid w:val="00661BD2"/>
    <w:rsid w:val="00661E9E"/>
    <w:rsid w:val="0066201F"/>
    <w:rsid w:val="00662244"/>
    <w:rsid w:val="00662705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FDE"/>
    <w:rsid w:val="00667097"/>
    <w:rsid w:val="00667C51"/>
    <w:rsid w:val="006701A4"/>
    <w:rsid w:val="0067064D"/>
    <w:rsid w:val="00670EEC"/>
    <w:rsid w:val="00670F70"/>
    <w:rsid w:val="00671443"/>
    <w:rsid w:val="00671C7E"/>
    <w:rsid w:val="00673C27"/>
    <w:rsid w:val="00674C9D"/>
    <w:rsid w:val="006759AC"/>
    <w:rsid w:val="00675B2C"/>
    <w:rsid w:val="00675D0B"/>
    <w:rsid w:val="00675D40"/>
    <w:rsid w:val="00675F8F"/>
    <w:rsid w:val="00677017"/>
    <w:rsid w:val="006773A9"/>
    <w:rsid w:val="006774C2"/>
    <w:rsid w:val="006803FD"/>
    <w:rsid w:val="00680A16"/>
    <w:rsid w:val="00680F83"/>
    <w:rsid w:val="00681073"/>
    <w:rsid w:val="006820B1"/>
    <w:rsid w:val="00683157"/>
    <w:rsid w:val="0068378F"/>
    <w:rsid w:val="00684972"/>
    <w:rsid w:val="0068497C"/>
    <w:rsid w:val="006854BF"/>
    <w:rsid w:val="00685B18"/>
    <w:rsid w:val="00685EFF"/>
    <w:rsid w:val="00686E41"/>
    <w:rsid w:val="006877B6"/>
    <w:rsid w:val="00687934"/>
    <w:rsid w:val="00687FB2"/>
    <w:rsid w:val="006906B7"/>
    <w:rsid w:val="006908BB"/>
    <w:rsid w:val="00690EA9"/>
    <w:rsid w:val="00691179"/>
    <w:rsid w:val="00691687"/>
    <w:rsid w:val="00692517"/>
    <w:rsid w:val="00693652"/>
    <w:rsid w:val="0069365A"/>
    <w:rsid w:val="00693911"/>
    <w:rsid w:val="00693D85"/>
    <w:rsid w:val="0069406C"/>
    <w:rsid w:val="00694464"/>
    <w:rsid w:val="0069478D"/>
    <w:rsid w:val="006955EE"/>
    <w:rsid w:val="006959A1"/>
    <w:rsid w:val="00696E17"/>
    <w:rsid w:val="00697120"/>
    <w:rsid w:val="006971FA"/>
    <w:rsid w:val="00697F71"/>
    <w:rsid w:val="006A06F7"/>
    <w:rsid w:val="006A102E"/>
    <w:rsid w:val="006A118A"/>
    <w:rsid w:val="006A12CF"/>
    <w:rsid w:val="006A19E7"/>
    <w:rsid w:val="006A1CB1"/>
    <w:rsid w:val="006A246F"/>
    <w:rsid w:val="006A311D"/>
    <w:rsid w:val="006A3D45"/>
    <w:rsid w:val="006A4193"/>
    <w:rsid w:val="006A4D59"/>
    <w:rsid w:val="006A58A2"/>
    <w:rsid w:val="006A5A61"/>
    <w:rsid w:val="006A5E92"/>
    <w:rsid w:val="006A6B7E"/>
    <w:rsid w:val="006A6E85"/>
    <w:rsid w:val="006A7141"/>
    <w:rsid w:val="006A7608"/>
    <w:rsid w:val="006A76D0"/>
    <w:rsid w:val="006B04B0"/>
    <w:rsid w:val="006B0A3D"/>
    <w:rsid w:val="006B10C2"/>
    <w:rsid w:val="006B1241"/>
    <w:rsid w:val="006B16D4"/>
    <w:rsid w:val="006B2861"/>
    <w:rsid w:val="006B397A"/>
    <w:rsid w:val="006B3DAF"/>
    <w:rsid w:val="006B3E38"/>
    <w:rsid w:val="006B3FC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F77"/>
    <w:rsid w:val="006B63A2"/>
    <w:rsid w:val="006B666D"/>
    <w:rsid w:val="006B6834"/>
    <w:rsid w:val="006B6C7E"/>
    <w:rsid w:val="006B789E"/>
    <w:rsid w:val="006B7F42"/>
    <w:rsid w:val="006C0432"/>
    <w:rsid w:val="006C0F76"/>
    <w:rsid w:val="006C1A17"/>
    <w:rsid w:val="006C2196"/>
    <w:rsid w:val="006C263C"/>
    <w:rsid w:val="006C2B6E"/>
    <w:rsid w:val="006C342E"/>
    <w:rsid w:val="006C349F"/>
    <w:rsid w:val="006C4C70"/>
    <w:rsid w:val="006C4E80"/>
    <w:rsid w:val="006C4FF9"/>
    <w:rsid w:val="006C62FC"/>
    <w:rsid w:val="006C6B1E"/>
    <w:rsid w:val="006C6EA0"/>
    <w:rsid w:val="006C74DF"/>
    <w:rsid w:val="006C7568"/>
    <w:rsid w:val="006D02C3"/>
    <w:rsid w:val="006D03C0"/>
    <w:rsid w:val="006D03F8"/>
    <w:rsid w:val="006D1D96"/>
    <w:rsid w:val="006D1EE5"/>
    <w:rsid w:val="006D1EFF"/>
    <w:rsid w:val="006D202F"/>
    <w:rsid w:val="006D23C5"/>
    <w:rsid w:val="006D2999"/>
    <w:rsid w:val="006D2A20"/>
    <w:rsid w:val="006D2BBB"/>
    <w:rsid w:val="006D2CC9"/>
    <w:rsid w:val="006D3972"/>
    <w:rsid w:val="006D3BBE"/>
    <w:rsid w:val="006D3C48"/>
    <w:rsid w:val="006D4A3F"/>
    <w:rsid w:val="006D4CC0"/>
    <w:rsid w:val="006D51DC"/>
    <w:rsid w:val="006D559A"/>
    <w:rsid w:val="006D5F55"/>
    <w:rsid w:val="006D61A4"/>
    <w:rsid w:val="006D625C"/>
    <w:rsid w:val="006D74C4"/>
    <w:rsid w:val="006D7BB1"/>
    <w:rsid w:val="006E0315"/>
    <w:rsid w:val="006E09AB"/>
    <w:rsid w:val="006E11DA"/>
    <w:rsid w:val="006E13D8"/>
    <w:rsid w:val="006E15E7"/>
    <w:rsid w:val="006E1C58"/>
    <w:rsid w:val="006E23DA"/>
    <w:rsid w:val="006E35D2"/>
    <w:rsid w:val="006E37EF"/>
    <w:rsid w:val="006E3B56"/>
    <w:rsid w:val="006E3C8D"/>
    <w:rsid w:val="006E3DE8"/>
    <w:rsid w:val="006E3E4B"/>
    <w:rsid w:val="006E5BF2"/>
    <w:rsid w:val="006E5E3C"/>
    <w:rsid w:val="006E5EC1"/>
    <w:rsid w:val="006E6AA1"/>
    <w:rsid w:val="006E74C5"/>
    <w:rsid w:val="006E7DAF"/>
    <w:rsid w:val="006F00ED"/>
    <w:rsid w:val="006F0195"/>
    <w:rsid w:val="006F0AA3"/>
    <w:rsid w:val="006F1A84"/>
    <w:rsid w:val="006F245F"/>
    <w:rsid w:val="006F2C59"/>
    <w:rsid w:val="006F3D21"/>
    <w:rsid w:val="006F3E40"/>
    <w:rsid w:val="006F4AA1"/>
    <w:rsid w:val="006F4D59"/>
    <w:rsid w:val="006F4DD4"/>
    <w:rsid w:val="006F6EB7"/>
    <w:rsid w:val="006F72CD"/>
    <w:rsid w:val="006F7A67"/>
    <w:rsid w:val="006F7E62"/>
    <w:rsid w:val="007002A0"/>
    <w:rsid w:val="00700F06"/>
    <w:rsid w:val="00701779"/>
    <w:rsid w:val="0070187C"/>
    <w:rsid w:val="0070237A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7C9"/>
    <w:rsid w:val="00706CCE"/>
    <w:rsid w:val="00707172"/>
    <w:rsid w:val="007071CB"/>
    <w:rsid w:val="00707D18"/>
    <w:rsid w:val="0071034B"/>
    <w:rsid w:val="007109D9"/>
    <w:rsid w:val="0071184B"/>
    <w:rsid w:val="007125A5"/>
    <w:rsid w:val="00713432"/>
    <w:rsid w:val="0071399C"/>
    <w:rsid w:val="00714180"/>
    <w:rsid w:val="0071472A"/>
    <w:rsid w:val="0071523D"/>
    <w:rsid w:val="007160FF"/>
    <w:rsid w:val="0071618F"/>
    <w:rsid w:val="007176EC"/>
    <w:rsid w:val="00717AC4"/>
    <w:rsid w:val="00720398"/>
    <w:rsid w:val="007205ED"/>
    <w:rsid w:val="00720614"/>
    <w:rsid w:val="007210EF"/>
    <w:rsid w:val="007218E6"/>
    <w:rsid w:val="00722081"/>
    <w:rsid w:val="00722297"/>
    <w:rsid w:val="00722B63"/>
    <w:rsid w:val="00722BE8"/>
    <w:rsid w:val="00722E6C"/>
    <w:rsid w:val="0072352E"/>
    <w:rsid w:val="007235AD"/>
    <w:rsid w:val="00723CFB"/>
    <w:rsid w:val="00724583"/>
    <w:rsid w:val="0072576F"/>
    <w:rsid w:val="00725ED3"/>
    <w:rsid w:val="007260C8"/>
    <w:rsid w:val="007263CB"/>
    <w:rsid w:val="007269B3"/>
    <w:rsid w:val="00726D0E"/>
    <w:rsid w:val="00727F49"/>
    <w:rsid w:val="007314B5"/>
    <w:rsid w:val="007317A9"/>
    <w:rsid w:val="00731B87"/>
    <w:rsid w:val="00731EA1"/>
    <w:rsid w:val="0073243F"/>
    <w:rsid w:val="00732B8D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2C6"/>
    <w:rsid w:val="00740348"/>
    <w:rsid w:val="00740C28"/>
    <w:rsid w:val="007411D0"/>
    <w:rsid w:val="007412D7"/>
    <w:rsid w:val="00741F7A"/>
    <w:rsid w:val="0074209E"/>
    <w:rsid w:val="00742C1A"/>
    <w:rsid w:val="00742E85"/>
    <w:rsid w:val="00742F1C"/>
    <w:rsid w:val="007430C7"/>
    <w:rsid w:val="00743962"/>
    <w:rsid w:val="00743B6C"/>
    <w:rsid w:val="00744787"/>
    <w:rsid w:val="00744BB1"/>
    <w:rsid w:val="00745386"/>
    <w:rsid w:val="0074551F"/>
    <w:rsid w:val="0074593C"/>
    <w:rsid w:val="0074782B"/>
    <w:rsid w:val="00747B08"/>
    <w:rsid w:val="00750CD8"/>
    <w:rsid w:val="00751B17"/>
    <w:rsid w:val="00751DE4"/>
    <w:rsid w:val="00751E80"/>
    <w:rsid w:val="0075224F"/>
    <w:rsid w:val="00752E6D"/>
    <w:rsid w:val="00754082"/>
    <w:rsid w:val="007546CA"/>
    <w:rsid w:val="00754A56"/>
    <w:rsid w:val="00754CAE"/>
    <w:rsid w:val="00754CC1"/>
    <w:rsid w:val="007554CE"/>
    <w:rsid w:val="00756463"/>
    <w:rsid w:val="00757285"/>
    <w:rsid w:val="00757542"/>
    <w:rsid w:val="00760179"/>
    <w:rsid w:val="00760400"/>
    <w:rsid w:val="007605BD"/>
    <w:rsid w:val="00760790"/>
    <w:rsid w:val="00760BB2"/>
    <w:rsid w:val="007615AE"/>
    <w:rsid w:val="00761796"/>
    <w:rsid w:val="007619DB"/>
    <w:rsid w:val="00761CEE"/>
    <w:rsid w:val="00761F77"/>
    <w:rsid w:val="00762B7A"/>
    <w:rsid w:val="00762CA6"/>
    <w:rsid w:val="00762CF4"/>
    <w:rsid w:val="00762FA3"/>
    <w:rsid w:val="0076367C"/>
    <w:rsid w:val="007658C5"/>
    <w:rsid w:val="00765B40"/>
    <w:rsid w:val="00765D92"/>
    <w:rsid w:val="007663C8"/>
    <w:rsid w:val="00766A39"/>
    <w:rsid w:val="00766E02"/>
    <w:rsid w:val="00766E03"/>
    <w:rsid w:val="0076727C"/>
    <w:rsid w:val="00767AE9"/>
    <w:rsid w:val="0077012A"/>
    <w:rsid w:val="0077015B"/>
    <w:rsid w:val="00770525"/>
    <w:rsid w:val="00771315"/>
    <w:rsid w:val="00771617"/>
    <w:rsid w:val="00771813"/>
    <w:rsid w:val="00771981"/>
    <w:rsid w:val="007721C4"/>
    <w:rsid w:val="00772CFD"/>
    <w:rsid w:val="007735BE"/>
    <w:rsid w:val="007748D8"/>
    <w:rsid w:val="00776158"/>
    <w:rsid w:val="0077617C"/>
    <w:rsid w:val="0077640E"/>
    <w:rsid w:val="007771D6"/>
    <w:rsid w:val="0077751D"/>
    <w:rsid w:val="00777607"/>
    <w:rsid w:val="0078093D"/>
    <w:rsid w:val="00781C73"/>
    <w:rsid w:val="0078210F"/>
    <w:rsid w:val="0078236A"/>
    <w:rsid w:val="00784921"/>
    <w:rsid w:val="00785052"/>
    <w:rsid w:val="007856A6"/>
    <w:rsid w:val="007857C5"/>
    <w:rsid w:val="00785CFA"/>
    <w:rsid w:val="00785DD3"/>
    <w:rsid w:val="00785E54"/>
    <w:rsid w:val="00786745"/>
    <w:rsid w:val="0078695B"/>
    <w:rsid w:val="00786EA9"/>
    <w:rsid w:val="00787C6D"/>
    <w:rsid w:val="00787F93"/>
    <w:rsid w:val="007907D7"/>
    <w:rsid w:val="007908FD"/>
    <w:rsid w:val="00791565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ED3"/>
    <w:rsid w:val="00796F78"/>
    <w:rsid w:val="00797077"/>
    <w:rsid w:val="0079790F"/>
    <w:rsid w:val="007A0008"/>
    <w:rsid w:val="007A0220"/>
    <w:rsid w:val="007A11FC"/>
    <w:rsid w:val="007A1AC8"/>
    <w:rsid w:val="007A1CE1"/>
    <w:rsid w:val="007A1EEE"/>
    <w:rsid w:val="007A2274"/>
    <w:rsid w:val="007A38FB"/>
    <w:rsid w:val="007A3982"/>
    <w:rsid w:val="007A3BE6"/>
    <w:rsid w:val="007A3C2F"/>
    <w:rsid w:val="007A3CAE"/>
    <w:rsid w:val="007A4227"/>
    <w:rsid w:val="007A4567"/>
    <w:rsid w:val="007A4C23"/>
    <w:rsid w:val="007A4D73"/>
    <w:rsid w:val="007A4FDC"/>
    <w:rsid w:val="007A5AEA"/>
    <w:rsid w:val="007A62A6"/>
    <w:rsid w:val="007A7795"/>
    <w:rsid w:val="007A790F"/>
    <w:rsid w:val="007A7A9F"/>
    <w:rsid w:val="007A7F9B"/>
    <w:rsid w:val="007B092C"/>
    <w:rsid w:val="007B110A"/>
    <w:rsid w:val="007B21E5"/>
    <w:rsid w:val="007B3A43"/>
    <w:rsid w:val="007B3BFB"/>
    <w:rsid w:val="007B4C1B"/>
    <w:rsid w:val="007B4F89"/>
    <w:rsid w:val="007B58DF"/>
    <w:rsid w:val="007B61AB"/>
    <w:rsid w:val="007B6D43"/>
    <w:rsid w:val="007B7567"/>
    <w:rsid w:val="007B7C75"/>
    <w:rsid w:val="007B7CF0"/>
    <w:rsid w:val="007B7E4A"/>
    <w:rsid w:val="007C0363"/>
    <w:rsid w:val="007C06E7"/>
    <w:rsid w:val="007C0BA9"/>
    <w:rsid w:val="007C174E"/>
    <w:rsid w:val="007C1D32"/>
    <w:rsid w:val="007C1E28"/>
    <w:rsid w:val="007C23C7"/>
    <w:rsid w:val="007C2679"/>
    <w:rsid w:val="007C33C8"/>
    <w:rsid w:val="007C3E2E"/>
    <w:rsid w:val="007C4189"/>
    <w:rsid w:val="007C487A"/>
    <w:rsid w:val="007C4DE1"/>
    <w:rsid w:val="007C6041"/>
    <w:rsid w:val="007C6129"/>
    <w:rsid w:val="007C6695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367"/>
    <w:rsid w:val="007D6ECE"/>
    <w:rsid w:val="007D72EE"/>
    <w:rsid w:val="007E06BC"/>
    <w:rsid w:val="007E0C6A"/>
    <w:rsid w:val="007E11AA"/>
    <w:rsid w:val="007E1707"/>
    <w:rsid w:val="007E1768"/>
    <w:rsid w:val="007E19DF"/>
    <w:rsid w:val="007E22F0"/>
    <w:rsid w:val="007E2648"/>
    <w:rsid w:val="007E2901"/>
    <w:rsid w:val="007E2C40"/>
    <w:rsid w:val="007E3098"/>
    <w:rsid w:val="007E372A"/>
    <w:rsid w:val="007E39E3"/>
    <w:rsid w:val="007E4392"/>
    <w:rsid w:val="007E48AB"/>
    <w:rsid w:val="007E48EC"/>
    <w:rsid w:val="007E503B"/>
    <w:rsid w:val="007E5F42"/>
    <w:rsid w:val="007E601A"/>
    <w:rsid w:val="007E6F94"/>
    <w:rsid w:val="007E70D2"/>
    <w:rsid w:val="007E712F"/>
    <w:rsid w:val="007F0FE2"/>
    <w:rsid w:val="007F1751"/>
    <w:rsid w:val="007F1FD2"/>
    <w:rsid w:val="007F2503"/>
    <w:rsid w:val="007F371F"/>
    <w:rsid w:val="007F3A75"/>
    <w:rsid w:val="007F3C35"/>
    <w:rsid w:val="007F4360"/>
    <w:rsid w:val="007F4D0E"/>
    <w:rsid w:val="007F4D83"/>
    <w:rsid w:val="007F4F88"/>
    <w:rsid w:val="007F540A"/>
    <w:rsid w:val="007F5F26"/>
    <w:rsid w:val="007F6413"/>
    <w:rsid w:val="007F66AD"/>
    <w:rsid w:val="007F6707"/>
    <w:rsid w:val="007F6E58"/>
    <w:rsid w:val="007F781E"/>
    <w:rsid w:val="00800404"/>
    <w:rsid w:val="0080132B"/>
    <w:rsid w:val="00801605"/>
    <w:rsid w:val="00802881"/>
    <w:rsid w:val="0080309B"/>
    <w:rsid w:val="00803E0B"/>
    <w:rsid w:val="00804183"/>
    <w:rsid w:val="00804CB6"/>
    <w:rsid w:val="00804ED3"/>
    <w:rsid w:val="00806306"/>
    <w:rsid w:val="008069B7"/>
    <w:rsid w:val="00806E6E"/>
    <w:rsid w:val="00806E84"/>
    <w:rsid w:val="00807C7C"/>
    <w:rsid w:val="00807C81"/>
    <w:rsid w:val="00810684"/>
    <w:rsid w:val="008107AB"/>
    <w:rsid w:val="00811994"/>
    <w:rsid w:val="00812799"/>
    <w:rsid w:val="00812843"/>
    <w:rsid w:val="00812AE5"/>
    <w:rsid w:val="0081545B"/>
    <w:rsid w:val="0081553F"/>
    <w:rsid w:val="00815749"/>
    <w:rsid w:val="0081646C"/>
    <w:rsid w:val="0081706E"/>
    <w:rsid w:val="00817811"/>
    <w:rsid w:val="00817F15"/>
    <w:rsid w:val="00820F45"/>
    <w:rsid w:val="00821D3D"/>
    <w:rsid w:val="00822247"/>
    <w:rsid w:val="008226AD"/>
    <w:rsid w:val="00822B9D"/>
    <w:rsid w:val="00822FC1"/>
    <w:rsid w:val="0082379C"/>
    <w:rsid w:val="00824CA9"/>
    <w:rsid w:val="0082541D"/>
    <w:rsid w:val="00825B1D"/>
    <w:rsid w:val="008264AF"/>
    <w:rsid w:val="00826A49"/>
    <w:rsid w:val="008270BC"/>
    <w:rsid w:val="008308F6"/>
    <w:rsid w:val="00830EA8"/>
    <w:rsid w:val="00831A19"/>
    <w:rsid w:val="008320F2"/>
    <w:rsid w:val="00832761"/>
    <w:rsid w:val="00833B5D"/>
    <w:rsid w:val="00833D51"/>
    <w:rsid w:val="00833D7B"/>
    <w:rsid w:val="00833ED4"/>
    <w:rsid w:val="0083449A"/>
    <w:rsid w:val="008345BB"/>
    <w:rsid w:val="0083484A"/>
    <w:rsid w:val="008352B2"/>
    <w:rsid w:val="008355A4"/>
    <w:rsid w:val="0083628A"/>
    <w:rsid w:val="00836795"/>
    <w:rsid w:val="00836B92"/>
    <w:rsid w:val="00837127"/>
    <w:rsid w:val="00837A63"/>
    <w:rsid w:val="008418F1"/>
    <w:rsid w:val="00841B84"/>
    <w:rsid w:val="00842669"/>
    <w:rsid w:val="00843CB1"/>
    <w:rsid w:val="0084575B"/>
    <w:rsid w:val="00845CE1"/>
    <w:rsid w:val="00845E28"/>
    <w:rsid w:val="00846467"/>
    <w:rsid w:val="00846954"/>
    <w:rsid w:val="00846E0B"/>
    <w:rsid w:val="008478E0"/>
    <w:rsid w:val="00850BF3"/>
    <w:rsid w:val="00850D65"/>
    <w:rsid w:val="00851B79"/>
    <w:rsid w:val="00853774"/>
    <w:rsid w:val="00853953"/>
    <w:rsid w:val="00853A1C"/>
    <w:rsid w:val="00853B2C"/>
    <w:rsid w:val="00853FE1"/>
    <w:rsid w:val="00854D65"/>
    <w:rsid w:val="00855548"/>
    <w:rsid w:val="00855634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F3"/>
    <w:rsid w:val="00862516"/>
    <w:rsid w:val="00862E0C"/>
    <w:rsid w:val="00863221"/>
    <w:rsid w:val="00863465"/>
    <w:rsid w:val="008647EB"/>
    <w:rsid w:val="0086529C"/>
    <w:rsid w:val="008654C3"/>
    <w:rsid w:val="008656BE"/>
    <w:rsid w:val="0086575A"/>
    <w:rsid w:val="00865BC2"/>
    <w:rsid w:val="00866C83"/>
    <w:rsid w:val="00866ED8"/>
    <w:rsid w:val="00866EFA"/>
    <w:rsid w:val="008711F7"/>
    <w:rsid w:val="00871288"/>
    <w:rsid w:val="008719F8"/>
    <w:rsid w:val="008729E8"/>
    <w:rsid w:val="00872D06"/>
    <w:rsid w:val="00872E0D"/>
    <w:rsid w:val="008736BD"/>
    <w:rsid w:val="0087383C"/>
    <w:rsid w:val="00873912"/>
    <w:rsid w:val="008747E1"/>
    <w:rsid w:val="0087486F"/>
    <w:rsid w:val="00875231"/>
    <w:rsid w:val="0087529F"/>
    <w:rsid w:val="00875ED7"/>
    <w:rsid w:val="00876922"/>
    <w:rsid w:val="00877F0C"/>
    <w:rsid w:val="008804B5"/>
    <w:rsid w:val="00880592"/>
    <w:rsid w:val="00881C89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D80"/>
    <w:rsid w:val="00890289"/>
    <w:rsid w:val="00890D4A"/>
    <w:rsid w:val="00891F5E"/>
    <w:rsid w:val="00892066"/>
    <w:rsid w:val="008926DD"/>
    <w:rsid w:val="00892F22"/>
    <w:rsid w:val="008934A2"/>
    <w:rsid w:val="00893E5F"/>
    <w:rsid w:val="00894077"/>
    <w:rsid w:val="00894D19"/>
    <w:rsid w:val="00894E85"/>
    <w:rsid w:val="00894F0B"/>
    <w:rsid w:val="0089505E"/>
    <w:rsid w:val="00895DCB"/>
    <w:rsid w:val="008969A9"/>
    <w:rsid w:val="00896F80"/>
    <w:rsid w:val="008975FB"/>
    <w:rsid w:val="008978DF"/>
    <w:rsid w:val="008A0F63"/>
    <w:rsid w:val="008A13C3"/>
    <w:rsid w:val="008A196B"/>
    <w:rsid w:val="008A1BC1"/>
    <w:rsid w:val="008A232A"/>
    <w:rsid w:val="008A2726"/>
    <w:rsid w:val="008A2C80"/>
    <w:rsid w:val="008A3180"/>
    <w:rsid w:val="008A43BE"/>
    <w:rsid w:val="008A4677"/>
    <w:rsid w:val="008A5B00"/>
    <w:rsid w:val="008A5E20"/>
    <w:rsid w:val="008A5EA2"/>
    <w:rsid w:val="008A6073"/>
    <w:rsid w:val="008A62FC"/>
    <w:rsid w:val="008A6D1E"/>
    <w:rsid w:val="008A7579"/>
    <w:rsid w:val="008A773B"/>
    <w:rsid w:val="008A793D"/>
    <w:rsid w:val="008A7F8A"/>
    <w:rsid w:val="008B095D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723"/>
    <w:rsid w:val="008B5538"/>
    <w:rsid w:val="008B60BE"/>
    <w:rsid w:val="008B63B6"/>
    <w:rsid w:val="008B67AB"/>
    <w:rsid w:val="008C049F"/>
    <w:rsid w:val="008C1ACE"/>
    <w:rsid w:val="008C1AE5"/>
    <w:rsid w:val="008C1EB9"/>
    <w:rsid w:val="008C209C"/>
    <w:rsid w:val="008C20D0"/>
    <w:rsid w:val="008C2560"/>
    <w:rsid w:val="008C2E11"/>
    <w:rsid w:val="008C3097"/>
    <w:rsid w:val="008C38DC"/>
    <w:rsid w:val="008C501C"/>
    <w:rsid w:val="008C7291"/>
    <w:rsid w:val="008C7446"/>
    <w:rsid w:val="008C7A9B"/>
    <w:rsid w:val="008C7F9C"/>
    <w:rsid w:val="008D12A4"/>
    <w:rsid w:val="008D140F"/>
    <w:rsid w:val="008D1E69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4FA1"/>
    <w:rsid w:val="008D5C38"/>
    <w:rsid w:val="008D64DA"/>
    <w:rsid w:val="008D6CE2"/>
    <w:rsid w:val="008D7079"/>
    <w:rsid w:val="008D7831"/>
    <w:rsid w:val="008D7FDC"/>
    <w:rsid w:val="008E0020"/>
    <w:rsid w:val="008E0994"/>
    <w:rsid w:val="008E16AE"/>
    <w:rsid w:val="008E1B23"/>
    <w:rsid w:val="008E1D52"/>
    <w:rsid w:val="008E262A"/>
    <w:rsid w:val="008E29A1"/>
    <w:rsid w:val="008E3212"/>
    <w:rsid w:val="008E3E64"/>
    <w:rsid w:val="008E3FBD"/>
    <w:rsid w:val="008E4372"/>
    <w:rsid w:val="008E437E"/>
    <w:rsid w:val="008E46F8"/>
    <w:rsid w:val="008E4ECA"/>
    <w:rsid w:val="008E4ED6"/>
    <w:rsid w:val="008E528B"/>
    <w:rsid w:val="008E5979"/>
    <w:rsid w:val="008E5C8A"/>
    <w:rsid w:val="008E6025"/>
    <w:rsid w:val="008E6C9D"/>
    <w:rsid w:val="008E7481"/>
    <w:rsid w:val="008E7654"/>
    <w:rsid w:val="008F0489"/>
    <w:rsid w:val="008F04C0"/>
    <w:rsid w:val="008F0CEB"/>
    <w:rsid w:val="008F0D2B"/>
    <w:rsid w:val="008F174B"/>
    <w:rsid w:val="008F2BD1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900243"/>
    <w:rsid w:val="00900494"/>
    <w:rsid w:val="00901598"/>
    <w:rsid w:val="00901B31"/>
    <w:rsid w:val="009020D5"/>
    <w:rsid w:val="00902624"/>
    <w:rsid w:val="00903F89"/>
    <w:rsid w:val="0090458D"/>
    <w:rsid w:val="00904606"/>
    <w:rsid w:val="009048C5"/>
    <w:rsid w:val="00904C10"/>
    <w:rsid w:val="00904C29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55E2"/>
    <w:rsid w:val="0091612A"/>
    <w:rsid w:val="0091616F"/>
    <w:rsid w:val="00916E27"/>
    <w:rsid w:val="009170FE"/>
    <w:rsid w:val="009176B8"/>
    <w:rsid w:val="00917988"/>
    <w:rsid w:val="00917DA8"/>
    <w:rsid w:val="00920199"/>
    <w:rsid w:val="00922033"/>
    <w:rsid w:val="0092349B"/>
    <w:rsid w:val="0092376B"/>
    <w:rsid w:val="00923840"/>
    <w:rsid w:val="009245FE"/>
    <w:rsid w:val="00924C72"/>
    <w:rsid w:val="00924F9E"/>
    <w:rsid w:val="0092580C"/>
    <w:rsid w:val="009267DD"/>
    <w:rsid w:val="00926BC7"/>
    <w:rsid w:val="00926E3D"/>
    <w:rsid w:val="0092767E"/>
    <w:rsid w:val="009279B7"/>
    <w:rsid w:val="009300ED"/>
    <w:rsid w:val="00930274"/>
    <w:rsid w:val="009302BC"/>
    <w:rsid w:val="0093092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4720"/>
    <w:rsid w:val="00934C2E"/>
    <w:rsid w:val="00935909"/>
    <w:rsid w:val="00935C45"/>
    <w:rsid w:val="0093614A"/>
    <w:rsid w:val="0093619C"/>
    <w:rsid w:val="009365A8"/>
    <w:rsid w:val="00936CB6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3E7"/>
    <w:rsid w:val="009440FB"/>
    <w:rsid w:val="009451C4"/>
    <w:rsid w:val="00945431"/>
    <w:rsid w:val="00946D1F"/>
    <w:rsid w:val="00946EAB"/>
    <w:rsid w:val="009470B4"/>
    <w:rsid w:val="00951BD6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60586"/>
    <w:rsid w:val="0096070B"/>
    <w:rsid w:val="00961789"/>
    <w:rsid w:val="00961B04"/>
    <w:rsid w:val="00961CF0"/>
    <w:rsid w:val="00961F45"/>
    <w:rsid w:val="00961F92"/>
    <w:rsid w:val="009621EE"/>
    <w:rsid w:val="00962C45"/>
    <w:rsid w:val="00963B5B"/>
    <w:rsid w:val="00963C76"/>
    <w:rsid w:val="00964B07"/>
    <w:rsid w:val="00964C0B"/>
    <w:rsid w:val="009655DE"/>
    <w:rsid w:val="0096599C"/>
    <w:rsid w:val="00965E19"/>
    <w:rsid w:val="0096655C"/>
    <w:rsid w:val="00966800"/>
    <w:rsid w:val="00966BA3"/>
    <w:rsid w:val="00966D00"/>
    <w:rsid w:val="0096790B"/>
    <w:rsid w:val="0097022B"/>
    <w:rsid w:val="00970397"/>
    <w:rsid w:val="0097102D"/>
    <w:rsid w:val="00972883"/>
    <w:rsid w:val="00972922"/>
    <w:rsid w:val="00972BB3"/>
    <w:rsid w:val="009732CB"/>
    <w:rsid w:val="00973EDD"/>
    <w:rsid w:val="00974586"/>
    <w:rsid w:val="0097482C"/>
    <w:rsid w:val="00974997"/>
    <w:rsid w:val="00974F6F"/>
    <w:rsid w:val="00974FB8"/>
    <w:rsid w:val="00976017"/>
    <w:rsid w:val="0097672D"/>
    <w:rsid w:val="00976C23"/>
    <w:rsid w:val="00976D12"/>
    <w:rsid w:val="00977123"/>
    <w:rsid w:val="0097714C"/>
    <w:rsid w:val="00977FAA"/>
    <w:rsid w:val="009801C3"/>
    <w:rsid w:val="00980C47"/>
    <w:rsid w:val="00980CC7"/>
    <w:rsid w:val="0098104C"/>
    <w:rsid w:val="009810F7"/>
    <w:rsid w:val="009815D1"/>
    <w:rsid w:val="00981973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90106"/>
    <w:rsid w:val="00990238"/>
    <w:rsid w:val="00990873"/>
    <w:rsid w:val="00990EFC"/>
    <w:rsid w:val="009930AC"/>
    <w:rsid w:val="00994365"/>
    <w:rsid w:val="0099443F"/>
    <w:rsid w:val="0099467D"/>
    <w:rsid w:val="00994721"/>
    <w:rsid w:val="00994F33"/>
    <w:rsid w:val="00995CBB"/>
    <w:rsid w:val="00996194"/>
    <w:rsid w:val="00996200"/>
    <w:rsid w:val="00996E12"/>
    <w:rsid w:val="009979F8"/>
    <w:rsid w:val="009A0418"/>
    <w:rsid w:val="009A0AA2"/>
    <w:rsid w:val="009A0E43"/>
    <w:rsid w:val="009A0F14"/>
    <w:rsid w:val="009A1085"/>
    <w:rsid w:val="009A14E2"/>
    <w:rsid w:val="009A2274"/>
    <w:rsid w:val="009A2588"/>
    <w:rsid w:val="009A27F2"/>
    <w:rsid w:val="009A42D2"/>
    <w:rsid w:val="009A433E"/>
    <w:rsid w:val="009A4B85"/>
    <w:rsid w:val="009A57AD"/>
    <w:rsid w:val="009A5F1A"/>
    <w:rsid w:val="009A6054"/>
    <w:rsid w:val="009A6979"/>
    <w:rsid w:val="009A75DE"/>
    <w:rsid w:val="009B01E2"/>
    <w:rsid w:val="009B0483"/>
    <w:rsid w:val="009B0671"/>
    <w:rsid w:val="009B1052"/>
    <w:rsid w:val="009B192B"/>
    <w:rsid w:val="009B1940"/>
    <w:rsid w:val="009B1BEC"/>
    <w:rsid w:val="009B3E89"/>
    <w:rsid w:val="009B426E"/>
    <w:rsid w:val="009B56C4"/>
    <w:rsid w:val="009B5D88"/>
    <w:rsid w:val="009B729B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6456"/>
    <w:rsid w:val="009C7882"/>
    <w:rsid w:val="009C7E32"/>
    <w:rsid w:val="009C7E55"/>
    <w:rsid w:val="009D00A5"/>
    <w:rsid w:val="009D0507"/>
    <w:rsid w:val="009D09DE"/>
    <w:rsid w:val="009D120F"/>
    <w:rsid w:val="009D145B"/>
    <w:rsid w:val="009D477F"/>
    <w:rsid w:val="009D508F"/>
    <w:rsid w:val="009D52B2"/>
    <w:rsid w:val="009D5AE2"/>
    <w:rsid w:val="009D6169"/>
    <w:rsid w:val="009D63C3"/>
    <w:rsid w:val="009D72FA"/>
    <w:rsid w:val="009D7668"/>
    <w:rsid w:val="009E04F3"/>
    <w:rsid w:val="009E25F9"/>
    <w:rsid w:val="009E38CF"/>
    <w:rsid w:val="009E4390"/>
    <w:rsid w:val="009E4A7E"/>
    <w:rsid w:val="009E6C07"/>
    <w:rsid w:val="009E7A55"/>
    <w:rsid w:val="009E7C6B"/>
    <w:rsid w:val="009E7EDD"/>
    <w:rsid w:val="009F0203"/>
    <w:rsid w:val="009F0DE8"/>
    <w:rsid w:val="009F0EE8"/>
    <w:rsid w:val="009F1D0A"/>
    <w:rsid w:val="009F1DBF"/>
    <w:rsid w:val="009F1E0F"/>
    <w:rsid w:val="009F2046"/>
    <w:rsid w:val="009F2E85"/>
    <w:rsid w:val="009F3BBA"/>
    <w:rsid w:val="009F42E2"/>
    <w:rsid w:val="009F4CBD"/>
    <w:rsid w:val="009F4D14"/>
    <w:rsid w:val="009F5309"/>
    <w:rsid w:val="009F5A56"/>
    <w:rsid w:val="009F6ABA"/>
    <w:rsid w:val="009F6AD9"/>
    <w:rsid w:val="009F76BE"/>
    <w:rsid w:val="00A001D9"/>
    <w:rsid w:val="00A01076"/>
    <w:rsid w:val="00A01305"/>
    <w:rsid w:val="00A01551"/>
    <w:rsid w:val="00A02117"/>
    <w:rsid w:val="00A0259F"/>
    <w:rsid w:val="00A029BC"/>
    <w:rsid w:val="00A02A7D"/>
    <w:rsid w:val="00A03072"/>
    <w:rsid w:val="00A04452"/>
    <w:rsid w:val="00A047A9"/>
    <w:rsid w:val="00A05247"/>
    <w:rsid w:val="00A05298"/>
    <w:rsid w:val="00A05B59"/>
    <w:rsid w:val="00A062FD"/>
    <w:rsid w:val="00A06782"/>
    <w:rsid w:val="00A0748F"/>
    <w:rsid w:val="00A0765B"/>
    <w:rsid w:val="00A1007D"/>
    <w:rsid w:val="00A10417"/>
    <w:rsid w:val="00A109DC"/>
    <w:rsid w:val="00A11492"/>
    <w:rsid w:val="00A118E5"/>
    <w:rsid w:val="00A122EA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979"/>
    <w:rsid w:val="00A16BB7"/>
    <w:rsid w:val="00A17A97"/>
    <w:rsid w:val="00A20042"/>
    <w:rsid w:val="00A20057"/>
    <w:rsid w:val="00A2047D"/>
    <w:rsid w:val="00A20D48"/>
    <w:rsid w:val="00A20E11"/>
    <w:rsid w:val="00A213B2"/>
    <w:rsid w:val="00A21A13"/>
    <w:rsid w:val="00A21CB2"/>
    <w:rsid w:val="00A21D1A"/>
    <w:rsid w:val="00A21F18"/>
    <w:rsid w:val="00A2303E"/>
    <w:rsid w:val="00A23AA3"/>
    <w:rsid w:val="00A2427B"/>
    <w:rsid w:val="00A2450C"/>
    <w:rsid w:val="00A26289"/>
    <w:rsid w:val="00A26503"/>
    <w:rsid w:val="00A266E1"/>
    <w:rsid w:val="00A27130"/>
    <w:rsid w:val="00A279F7"/>
    <w:rsid w:val="00A27F52"/>
    <w:rsid w:val="00A30343"/>
    <w:rsid w:val="00A30401"/>
    <w:rsid w:val="00A3049C"/>
    <w:rsid w:val="00A3102B"/>
    <w:rsid w:val="00A32298"/>
    <w:rsid w:val="00A3362D"/>
    <w:rsid w:val="00A3371C"/>
    <w:rsid w:val="00A348A6"/>
    <w:rsid w:val="00A35505"/>
    <w:rsid w:val="00A3578E"/>
    <w:rsid w:val="00A359D3"/>
    <w:rsid w:val="00A35C2C"/>
    <w:rsid w:val="00A35E61"/>
    <w:rsid w:val="00A35F19"/>
    <w:rsid w:val="00A36454"/>
    <w:rsid w:val="00A3661D"/>
    <w:rsid w:val="00A36775"/>
    <w:rsid w:val="00A36ECB"/>
    <w:rsid w:val="00A37366"/>
    <w:rsid w:val="00A37CF2"/>
    <w:rsid w:val="00A40A54"/>
    <w:rsid w:val="00A418C6"/>
    <w:rsid w:val="00A41947"/>
    <w:rsid w:val="00A4260F"/>
    <w:rsid w:val="00A434EC"/>
    <w:rsid w:val="00A43DF3"/>
    <w:rsid w:val="00A446DE"/>
    <w:rsid w:val="00A44ACE"/>
    <w:rsid w:val="00A459FF"/>
    <w:rsid w:val="00A46702"/>
    <w:rsid w:val="00A47104"/>
    <w:rsid w:val="00A4750F"/>
    <w:rsid w:val="00A47A4D"/>
    <w:rsid w:val="00A47CA1"/>
    <w:rsid w:val="00A50610"/>
    <w:rsid w:val="00A50EC9"/>
    <w:rsid w:val="00A51AAD"/>
    <w:rsid w:val="00A51C1D"/>
    <w:rsid w:val="00A52E65"/>
    <w:rsid w:val="00A5375C"/>
    <w:rsid w:val="00A552D2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1445"/>
    <w:rsid w:val="00A61F3C"/>
    <w:rsid w:val="00A62442"/>
    <w:rsid w:val="00A62566"/>
    <w:rsid w:val="00A625C9"/>
    <w:rsid w:val="00A62D5C"/>
    <w:rsid w:val="00A650BF"/>
    <w:rsid w:val="00A65289"/>
    <w:rsid w:val="00A653B9"/>
    <w:rsid w:val="00A66DA0"/>
    <w:rsid w:val="00A66E32"/>
    <w:rsid w:val="00A67351"/>
    <w:rsid w:val="00A67544"/>
    <w:rsid w:val="00A677D6"/>
    <w:rsid w:val="00A67E6E"/>
    <w:rsid w:val="00A70F7D"/>
    <w:rsid w:val="00A71522"/>
    <w:rsid w:val="00A71BB7"/>
    <w:rsid w:val="00A7214B"/>
    <w:rsid w:val="00A729CD"/>
    <w:rsid w:val="00A72BC9"/>
    <w:rsid w:val="00A730B2"/>
    <w:rsid w:val="00A731CE"/>
    <w:rsid w:val="00A7351E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8052E"/>
    <w:rsid w:val="00A80BC7"/>
    <w:rsid w:val="00A8181E"/>
    <w:rsid w:val="00A81B7A"/>
    <w:rsid w:val="00A81E12"/>
    <w:rsid w:val="00A82060"/>
    <w:rsid w:val="00A827EE"/>
    <w:rsid w:val="00A83E43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7E86"/>
    <w:rsid w:val="00AA0091"/>
    <w:rsid w:val="00AA00C2"/>
    <w:rsid w:val="00AA0208"/>
    <w:rsid w:val="00AA0693"/>
    <w:rsid w:val="00AA0DAE"/>
    <w:rsid w:val="00AA15A5"/>
    <w:rsid w:val="00AA2941"/>
    <w:rsid w:val="00AA2C2A"/>
    <w:rsid w:val="00AA3067"/>
    <w:rsid w:val="00AA36D8"/>
    <w:rsid w:val="00AA3D5A"/>
    <w:rsid w:val="00AA4236"/>
    <w:rsid w:val="00AA42F6"/>
    <w:rsid w:val="00AA4D1E"/>
    <w:rsid w:val="00AA5A53"/>
    <w:rsid w:val="00AA5AD1"/>
    <w:rsid w:val="00AA65A8"/>
    <w:rsid w:val="00AA7282"/>
    <w:rsid w:val="00AB0398"/>
    <w:rsid w:val="00AB050F"/>
    <w:rsid w:val="00AB055D"/>
    <w:rsid w:val="00AB059F"/>
    <w:rsid w:val="00AB14E0"/>
    <w:rsid w:val="00AB1772"/>
    <w:rsid w:val="00AB179C"/>
    <w:rsid w:val="00AB2884"/>
    <w:rsid w:val="00AB29E5"/>
    <w:rsid w:val="00AB353C"/>
    <w:rsid w:val="00AB382C"/>
    <w:rsid w:val="00AB3C85"/>
    <w:rsid w:val="00AB3E3D"/>
    <w:rsid w:val="00AB40A6"/>
    <w:rsid w:val="00AB4D69"/>
    <w:rsid w:val="00AB6789"/>
    <w:rsid w:val="00AB6A3F"/>
    <w:rsid w:val="00AB6CF9"/>
    <w:rsid w:val="00AB7224"/>
    <w:rsid w:val="00AB76A2"/>
    <w:rsid w:val="00AB7A06"/>
    <w:rsid w:val="00AC0776"/>
    <w:rsid w:val="00AC13AB"/>
    <w:rsid w:val="00AC1BD5"/>
    <w:rsid w:val="00AC2246"/>
    <w:rsid w:val="00AC2492"/>
    <w:rsid w:val="00AC2A9B"/>
    <w:rsid w:val="00AC3007"/>
    <w:rsid w:val="00AC32A5"/>
    <w:rsid w:val="00AC3380"/>
    <w:rsid w:val="00AC3CB4"/>
    <w:rsid w:val="00AC45D3"/>
    <w:rsid w:val="00AC4AB2"/>
    <w:rsid w:val="00AC4F6F"/>
    <w:rsid w:val="00AC60A6"/>
    <w:rsid w:val="00AC7279"/>
    <w:rsid w:val="00AC7321"/>
    <w:rsid w:val="00AC7926"/>
    <w:rsid w:val="00AC7962"/>
    <w:rsid w:val="00AC7A66"/>
    <w:rsid w:val="00AC7F63"/>
    <w:rsid w:val="00AD028E"/>
    <w:rsid w:val="00AD03C4"/>
    <w:rsid w:val="00AD05CD"/>
    <w:rsid w:val="00AD183F"/>
    <w:rsid w:val="00AD2E06"/>
    <w:rsid w:val="00AD2ECA"/>
    <w:rsid w:val="00AD3238"/>
    <w:rsid w:val="00AD34FE"/>
    <w:rsid w:val="00AD3571"/>
    <w:rsid w:val="00AD3A58"/>
    <w:rsid w:val="00AD4410"/>
    <w:rsid w:val="00AD46A1"/>
    <w:rsid w:val="00AD4D73"/>
    <w:rsid w:val="00AD6341"/>
    <w:rsid w:val="00AD651E"/>
    <w:rsid w:val="00AD7613"/>
    <w:rsid w:val="00AD7DCE"/>
    <w:rsid w:val="00AE0495"/>
    <w:rsid w:val="00AE050B"/>
    <w:rsid w:val="00AE0D5E"/>
    <w:rsid w:val="00AE1CA4"/>
    <w:rsid w:val="00AE1D05"/>
    <w:rsid w:val="00AE1EE6"/>
    <w:rsid w:val="00AE2C73"/>
    <w:rsid w:val="00AE2F22"/>
    <w:rsid w:val="00AE35FC"/>
    <w:rsid w:val="00AE3676"/>
    <w:rsid w:val="00AE3ABD"/>
    <w:rsid w:val="00AE3B20"/>
    <w:rsid w:val="00AE3C75"/>
    <w:rsid w:val="00AE4F06"/>
    <w:rsid w:val="00AE604D"/>
    <w:rsid w:val="00AE646D"/>
    <w:rsid w:val="00AE762C"/>
    <w:rsid w:val="00AE7C3C"/>
    <w:rsid w:val="00AF0000"/>
    <w:rsid w:val="00AF0B34"/>
    <w:rsid w:val="00AF0F1C"/>
    <w:rsid w:val="00AF0F29"/>
    <w:rsid w:val="00AF15B1"/>
    <w:rsid w:val="00AF2589"/>
    <w:rsid w:val="00AF3504"/>
    <w:rsid w:val="00AF37AA"/>
    <w:rsid w:val="00AF385F"/>
    <w:rsid w:val="00AF3FC4"/>
    <w:rsid w:val="00AF441C"/>
    <w:rsid w:val="00AF4C77"/>
    <w:rsid w:val="00AF50BD"/>
    <w:rsid w:val="00AF52DC"/>
    <w:rsid w:val="00AF643C"/>
    <w:rsid w:val="00AF655A"/>
    <w:rsid w:val="00AF69BA"/>
    <w:rsid w:val="00AF7721"/>
    <w:rsid w:val="00B00116"/>
    <w:rsid w:val="00B00301"/>
    <w:rsid w:val="00B0054E"/>
    <w:rsid w:val="00B0055D"/>
    <w:rsid w:val="00B00A4B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A65"/>
    <w:rsid w:val="00B05502"/>
    <w:rsid w:val="00B0589A"/>
    <w:rsid w:val="00B05E46"/>
    <w:rsid w:val="00B06105"/>
    <w:rsid w:val="00B069DE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43B0"/>
    <w:rsid w:val="00B15337"/>
    <w:rsid w:val="00B15848"/>
    <w:rsid w:val="00B15B1C"/>
    <w:rsid w:val="00B16070"/>
    <w:rsid w:val="00B166AD"/>
    <w:rsid w:val="00B16EFD"/>
    <w:rsid w:val="00B17412"/>
    <w:rsid w:val="00B17452"/>
    <w:rsid w:val="00B1752F"/>
    <w:rsid w:val="00B1754B"/>
    <w:rsid w:val="00B17E5F"/>
    <w:rsid w:val="00B2001C"/>
    <w:rsid w:val="00B20292"/>
    <w:rsid w:val="00B2051E"/>
    <w:rsid w:val="00B2162C"/>
    <w:rsid w:val="00B21745"/>
    <w:rsid w:val="00B21E3D"/>
    <w:rsid w:val="00B22CEB"/>
    <w:rsid w:val="00B2312E"/>
    <w:rsid w:val="00B2318E"/>
    <w:rsid w:val="00B2332D"/>
    <w:rsid w:val="00B23C12"/>
    <w:rsid w:val="00B2427F"/>
    <w:rsid w:val="00B24297"/>
    <w:rsid w:val="00B245C6"/>
    <w:rsid w:val="00B24978"/>
    <w:rsid w:val="00B24C56"/>
    <w:rsid w:val="00B2542C"/>
    <w:rsid w:val="00B255FE"/>
    <w:rsid w:val="00B25E44"/>
    <w:rsid w:val="00B26784"/>
    <w:rsid w:val="00B26E5A"/>
    <w:rsid w:val="00B276B5"/>
    <w:rsid w:val="00B27F72"/>
    <w:rsid w:val="00B27FF5"/>
    <w:rsid w:val="00B308A8"/>
    <w:rsid w:val="00B31132"/>
    <w:rsid w:val="00B31BF0"/>
    <w:rsid w:val="00B324A4"/>
    <w:rsid w:val="00B324DD"/>
    <w:rsid w:val="00B32783"/>
    <w:rsid w:val="00B32C0A"/>
    <w:rsid w:val="00B33378"/>
    <w:rsid w:val="00B33B11"/>
    <w:rsid w:val="00B33CAC"/>
    <w:rsid w:val="00B3482C"/>
    <w:rsid w:val="00B35425"/>
    <w:rsid w:val="00B35B02"/>
    <w:rsid w:val="00B36A0D"/>
    <w:rsid w:val="00B36FA6"/>
    <w:rsid w:val="00B37175"/>
    <w:rsid w:val="00B3789A"/>
    <w:rsid w:val="00B37A02"/>
    <w:rsid w:val="00B37FFA"/>
    <w:rsid w:val="00B40933"/>
    <w:rsid w:val="00B4094D"/>
    <w:rsid w:val="00B41653"/>
    <w:rsid w:val="00B41A67"/>
    <w:rsid w:val="00B41F25"/>
    <w:rsid w:val="00B423A5"/>
    <w:rsid w:val="00B424A7"/>
    <w:rsid w:val="00B42E43"/>
    <w:rsid w:val="00B42E47"/>
    <w:rsid w:val="00B42E78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C8D"/>
    <w:rsid w:val="00B512B4"/>
    <w:rsid w:val="00B527F7"/>
    <w:rsid w:val="00B529AA"/>
    <w:rsid w:val="00B52C63"/>
    <w:rsid w:val="00B52E32"/>
    <w:rsid w:val="00B538F0"/>
    <w:rsid w:val="00B54094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600C7"/>
    <w:rsid w:val="00B601C9"/>
    <w:rsid w:val="00B6129F"/>
    <w:rsid w:val="00B61853"/>
    <w:rsid w:val="00B62214"/>
    <w:rsid w:val="00B6274B"/>
    <w:rsid w:val="00B630AE"/>
    <w:rsid w:val="00B63970"/>
    <w:rsid w:val="00B63A8E"/>
    <w:rsid w:val="00B63E8B"/>
    <w:rsid w:val="00B64F98"/>
    <w:rsid w:val="00B6510B"/>
    <w:rsid w:val="00B65473"/>
    <w:rsid w:val="00B6565D"/>
    <w:rsid w:val="00B65885"/>
    <w:rsid w:val="00B658B3"/>
    <w:rsid w:val="00B65B66"/>
    <w:rsid w:val="00B66BE5"/>
    <w:rsid w:val="00B66CCB"/>
    <w:rsid w:val="00B67637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5CE4"/>
    <w:rsid w:val="00B75F5A"/>
    <w:rsid w:val="00B7690A"/>
    <w:rsid w:val="00B76C4C"/>
    <w:rsid w:val="00B76D24"/>
    <w:rsid w:val="00B77112"/>
    <w:rsid w:val="00B77ED9"/>
    <w:rsid w:val="00B80FA7"/>
    <w:rsid w:val="00B81281"/>
    <w:rsid w:val="00B813A7"/>
    <w:rsid w:val="00B81B3F"/>
    <w:rsid w:val="00B82098"/>
    <w:rsid w:val="00B82407"/>
    <w:rsid w:val="00B82B62"/>
    <w:rsid w:val="00B82CB2"/>
    <w:rsid w:val="00B82DD2"/>
    <w:rsid w:val="00B83003"/>
    <w:rsid w:val="00B8328A"/>
    <w:rsid w:val="00B833F0"/>
    <w:rsid w:val="00B83B53"/>
    <w:rsid w:val="00B84AC8"/>
    <w:rsid w:val="00B85348"/>
    <w:rsid w:val="00B8542F"/>
    <w:rsid w:val="00B85EDE"/>
    <w:rsid w:val="00B8610B"/>
    <w:rsid w:val="00B86713"/>
    <w:rsid w:val="00B868BA"/>
    <w:rsid w:val="00B868C9"/>
    <w:rsid w:val="00B87213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EBB"/>
    <w:rsid w:val="00B937A9"/>
    <w:rsid w:val="00B938D6"/>
    <w:rsid w:val="00B94752"/>
    <w:rsid w:val="00B94806"/>
    <w:rsid w:val="00B95166"/>
    <w:rsid w:val="00B95AD1"/>
    <w:rsid w:val="00B95B63"/>
    <w:rsid w:val="00B95BAF"/>
    <w:rsid w:val="00B95F5E"/>
    <w:rsid w:val="00B97197"/>
    <w:rsid w:val="00B975B2"/>
    <w:rsid w:val="00BA0328"/>
    <w:rsid w:val="00BA03C7"/>
    <w:rsid w:val="00BA0631"/>
    <w:rsid w:val="00BA0737"/>
    <w:rsid w:val="00BA0746"/>
    <w:rsid w:val="00BA0C4A"/>
    <w:rsid w:val="00BA299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762E"/>
    <w:rsid w:val="00BB001D"/>
    <w:rsid w:val="00BB05D7"/>
    <w:rsid w:val="00BB0DBD"/>
    <w:rsid w:val="00BB130E"/>
    <w:rsid w:val="00BB176A"/>
    <w:rsid w:val="00BB17EE"/>
    <w:rsid w:val="00BB1BDD"/>
    <w:rsid w:val="00BB22BD"/>
    <w:rsid w:val="00BB3CC4"/>
    <w:rsid w:val="00BB3FCA"/>
    <w:rsid w:val="00BB41C2"/>
    <w:rsid w:val="00BB4396"/>
    <w:rsid w:val="00BB4464"/>
    <w:rsid w:val="00BB45A3"/>
    <w:rsid w:val="00BB4719"/>
    <w:rsid w:val="00BB4FC3"/>
    <w:rsid w:val="00BB58D6"/>
    <w:rsid w:val="00BB7A6F"/>
    <w:rsid w:val="00BC01F0"/>
    <w:rsid w:val="00BC0F7B"/>
    <w:rsid w:val="00BC1B71"/>
    <w:rsid w:val="00BC202F"/>
    <w:rsid w:val="00BC24BC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F17"/>
    <w:rsid w:val="00BC7060"/>
    <w:rsid w:val="00BC706A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46F5"/>
    <w:rsid w:val="00BD5590"/>
    <w:rsid w:val="00BD6FBB"/>
    <w:rsid w:val="00BD74F3"/>
    <w:rsid w:val="00BD74F7"/>
    <w:rsid w:val="00BD7644"/>
    <w:rsid w:val="00BD7DE9"/>
    <w:rsid w:val="00BE2000"/>
    <w:rsid w:val="00BE260F"/>
    <w:rsid w:val="00BE29ED"/>
    <w:rsid w:val="00BE2AF2"/>
    <w:rsid w:val="00BE30E6"/>
    <w:rsid w:val="00BE37BC"/>
    <w:rsid w:val="00BE4114"/>
    <w:rsid w:val="00BE44F8"/>
    <w:rsid w:val="00BE45A2"/>
    <w:rsid w:val="00BE49B8"/>
    <w:rsid w:val="00BE55C7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2506"/>
    <w:rsid w:val="00BF25A6"/>
    <w:rsid w:val="00BF356C"/>
    <w:rsid w:val="00BF3627"/>
    <w:rsid w:val="00BF3BB0"/>
    <w:rsid w:val="00BF3C13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F3"/>
    <w:rsid w:val="00C03C12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DD"/>
    <w:rsid w:val="00C07E47"/>
    <w:rsid w:val="00C10094"/>
    <w:rsid w:val="00C110A6"/>
    <w:rsid w:val="00C11726"/>
    <w:rsid w:val="00C1177B"/>
    <w:rsid w:val="00C11ED2"/>
    <w:rsid w:val="00C130D9"/>
    <w:rsid w:val="00C13F6D"/>
    <w:rsid w:val="00C146A2"/>
    <w:rsid w:val="00C14968"/>
    <w:rsid w:val="00C14C37"/>
    <w:rsid w:val="00C152B7"/>
    <w:rsid w:val="00C16A89"/>
    <w:rsid w:val="00C16D6C"/>
    <w:rsid w:val="00C16F6D"/>
    <w:rsid w:val="00C17442"/>
    <w:rsid w:val="00C17A6E"/>
    <w:rsid w:val="00C2049D"/>
    <w:rsid w:val="00C2092A"/>
    <w:rsid w:val="00C20C66"/>
    <w:rsid w:val="00C20C7E"/>
    <w:rsid w:val="00C20E23"/>
    <w:rsid w:val="00C20E26"/>
    <w:rsid w:val="00C212B9"/>
    <w:rsid w:val="00C21B28"/>
    <w:rsid w:val="00C226E3"/>
    <w:rsid w:val="00C23194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F3B"/>
    <w:rsid w:val="00C262FB"/>
    <w:rsid w:val="00C26A08"/>
    <w:rsid w:val="00C27059"/>
    <w:rsid w:val="00C27782"/>
    <w:rsid w:val="00C27A97"/>
    <w:rsid w:val="00C27DA8"/>
    <w:rsid w:val="00C27DAB"/>
    <w:rsid w:val="00C27E0D"/>
    <w:rsid w:val="00C302D1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609E"/>
    <w:rsid w:val="00C36451"/>
    <w:rsid w:val="00C37588"/>
    <w:rsid w:val="00C37614"/>
    <w:rsid w:val="00C3774C"/>
    <w:rsid w:val="00C37BE8"/>
    <w:rsid w:val="00C4093D"/>
    <w:rsid w:val="00C4171A"/>
    <w:rsid w:val="00C41AE0"/>
    <w:rsid w:val="00C4292D"/>
    <w:rsid w:val="00C433D1"/>
    <w:rsid w:val="00C43912"/>
    <w:rsid w:val="00C4419C"/>
    <w:rsid w:val="00C44689"/>
    <w:rsid w:val="00C452BD"/>
    <w:rsid w:val="00C457EF"/>
    <w:rsid w:val="00C46499"/>
    <w:rsid w:val="00C46E35"/>
    <w:rsid w:val="00C4727E"/>
    <w:rsid w:val="00C473F7"/>
    <w:rsid w:val="00C4741B"/>
    <w:rsid w:val="00C47BE1"/>
    <w:rsid w:val="00C503F0"/>
    <w:rsid w:val="00C5058E"/>
    <w:rsid w:val="00C50A44"/>
    <w:rsid w:val="00C51230"/>
    <w:rsid w:val="00C51367"/>
    <w:rsid w:val="00C51AE4"/>
    <w:rsid w:val="00C51CCD"/>
    <w:rsid w:val="00C51F4F"/>
    <w:rsid w:val="00C52D18"/>
    <w:rsid w:val="00C52F02"/>
    <w:rsid w:val="00C52F19"/>
    <w:rsid w:val="00C5312D"/>
    <w:rsid w:val="00C533FB"/>
    <w:rsid w:val="00C546BB"/>
    <w:rsid w:val="00C54FAC"/>
    <w:rsid w:val="00C553B6"/>
    <w:rsid w:val="00C557A3"/>
    <w:rsid w:val="00C557EA"/>
    <w:rsid w:val="00C55E22"/>
    <w:rsid w:val="00C55F0A"/>
    <w:rsid w:val="00C56637"/>
    <w:rsid w:val="00C5677D"/>
    <w:rsid w:val="00C56D2F"/>
    <w:rsid w:val="00C56FBE"/>
    <w:rsid w:val="00C6057A"/>
    <w:rsid w:val="00C60EE5"/>
    <w:rsid w:val="00C60F59"/>
    <w:rsid w:val="00C61178"/>
    <w:rsid w:val="00C61A26"/>
    <w:rsid w:val="00C61CDD"/>
    <w:rsid w:val="00C61DE8"/>
    <w:rsid w:val="00C63444"/>
    <w:rsid w:val="00C6463A"/>
    <w:rsid w:val="00C664C3"/>
    <w:rsid w:val="00C72124"/>
    <w:rsid w:val="00C73341"/>
    <w:rsid w:val="00C7458F"/>
    <w:rsid w:val="00C74DBB"/>
    <w:rsid w:val="00C752DE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5A6"/>
    <w:rsid w:val="00C81688"/>
    <w:rsid w:val="00C8226A"/>
    <w:rsid w:val="00C825CF"/>
    <w:rsid w:val="00C827B7"/>
    <w:rsid w:val="00C82E99"/>
    <w:rsid w:val="00C83060"/>
    <w:rsid w:val="00C84697"/>
    <w:rsid w:val="00C84FF7"/>
    <w:rsid w:val="00C85C7C"/>
    <w:rsid w:val="00C86697"/>
    <w:rsid w:val="00C866D4"/>
    <w:rsid w:val="00C86804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3622"/>
    <w:rsid w:val="00C93EC0"/>
    <w:rsid w:val="00C943E9"/>
    <w:rsid w:val="00C954FE"/>
    <w:rsid w:val="00C95D71"/>
    <w:rsid w:val="00C97223"/>
    <w:rsid w:val="00CA06CF"/>
    <w:rsid w:val="00CA0ECA"/>
    <w:rsid w:val="00CA22A1"/>
    <w:rsid w:val="00CA2990"/>
    <w:rsid w:val="00CA341E"/>
    <w:rsid w:val="00CA3743"/>
    <w:rsid w:val="00CA3B95"/>
    <w:rsid w:val="00CA4E80"/>
    <w:rsid w:val="00CA62D8"/>
    <w:rsid w:val="00CA6C5F"/>
    <w:rsid w:val="00CA7075"/>
    <w:rsid w:val="00CA720A"/>
    <w:rsid w:val="00CA7A1D"/>
    <w:rsid w:val="00CA7A48"/>
    <w:rsid w:val="00CA7AB2"/>
    <w:rsid w:val="00CB0342"/>
    <w:rsid w:val="00CB076C"/>
    <w:rsid w:val="00CB0BF2"/>
    <w:rsid w:val="00CB1753"/>
    <w:rsid w:val="00CB1867"/>
    <w:rsid w:val="00CB24A9"/>
    <w:rsid w:val="00CB2B40"/>
    <w:rsid w:val="00CB3203"/>
    <w:rsid w:val="00CB39A7"/>
    <w:rsid w:val="00CB5294"/>
    <w:rsid w:val="00CB54B4"/>
    <w:rsid w:val="00CB683C"/>
    <w:rsid w:val="00CB6C29"/>
    <w:rsid w:val="00CB6CEC"/>
    <w:rsid w:val="00CB6E7D"/>
    <w:rsid w:val="00CB7EBD"/>
    <w:rsid w:val="00CC0502"/>
    <w:rsid w:val="00CC0E1A"/>
    <w:rsid w:val="00CC12B5"/>
    <w:rsid w:val="00CC1395"/>
    <w:rsid w:val="00CC1E01"/>
    <w:rsid w:val="00CC2556"/>
    <w:rsid w:val="00CC2752"/>
    <w:rsid w:val="00CC2D24"/>
    <w:rsid w:val="00CC2D99"/>
    <w:rsid w:val="00CC3792"/>
    <w:rsid w:val="00CC4486"/>
    <w:rsid w:val="00CC4BDE"/>
    <w:rsid w:val="00CC4FD7"/>
    <w:rsid w:val="00CC56F1"/>
    <w:rsid w:val="00CC57FB"/>
    <w:rsid w:val="00CC591C"/>
    <w:rsid w:val="00CC5B04"/>
    <w:rsid w:val="00CC5D38"/>
    <w:rsid w:val="00CC6013"/>
    <w:rsid w:val="00CC6F53"/>
    <w:rsid w:val="00CC7AE9"/>
    <w:rsid w:val="00CD06E6"/>
    <w:rsid w:val="00CD0DEC"/>
    <w:rsid w:val="00CD1E6F"/>
    <w:rsid w:val="00CD22E4"/>
    <w:rsid w:val="00CD2B75"/>
    <w:rsid w:val="00CD38FD"/>
    <w:rsid w:val="00CD511D"/>
    <w:rsid w:val="00CD558E"/>
    <w:rsid w:val="00CD65E8"/>
    <w:rsid w:val="00CE01E3"/>
    <w:rsid w:val="00CE0218"/>
    <w:rsid w:val="00CE0894"/>
    <w:rsid w:val="00CE0AFA"/>
    <w:rsid w:val="00CE1C72"/>
    <w:rsid w:val="00CE3E17"/>
    <w:rsid w:val="00CE492B"/>
    <w:rsid w:val="00CE4A44"/>
    <w:rsid w:val="00CE5897"/>
    <w:rsid w:val="00CE5C3A"/>
    <w:rsid w:val="00CE6664"/>
    <w:rsid w:val="00CF039C"/>
    <w:rsid w:val="00CF0687"/>
    <w:rsid w:val="00CF0B71"/>
    <w:rsid w:val="00CF0B94"/>
    <w:rsid w:val="00CF0D41"/>
    <w:rsid w:val="00CF1307"/>
    <w:rsid w:val="00CF176B"/>
    <w:rsid w:val="00CF1900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0625"/>
    <w:rsid w:val="00D0106A"/>
    <w:rsid w:val="00D01350"/>
    <w:rsid w:val="00D025A7"/>
    <w:rsid w:val="00D028A0"/>
    <w:rsid w:val="00D03080"/>
    <w:rsid w:val="00D03272"/>
    <w:rsid w:val="00D03619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6D3A"/>
    <w:rsid w:val="00D077A6"/>
    <w:rsid w:val="00D07DA1"/>
    <w:rsid w:val="00D07EBC"/>
    <w:rsid w:val="00D1002D"/>
    <w:rsid w:val="00D103CD"/>
    <w:rsid w:val="00D11D57"/>
    <w:rsid w:val="00D12042"/>
    <w:rsid w:val="00D123C1"/>
    <w:rsid w:val="00D128EB"/>
    <w:rsid w:val="00D12AF5"/>
    <w:rsid w:val="00D12E23"/>
    <w:rsid w:val="00D13763"/>
    <w:rsid w:val="00D14363"/>
    <w:rsid w:val="00D1445B"/>
    <w:rsid w:val="00D14504"/>
    <w:rsid w:val="00D148A1"/>
    <w:rsid w:val="00D166A1"/>
    <w:rsid w:val="00D1671E"/>
    <w:rsid w:val="00D16BFC"/>
    <w:rsid w:val="00D17978"/>
    <w:rsid w:val="00D17E7A"/>
    <w:rsid w:val="00D203B6"/>
    <w:rsid w:val="00D2079B"/>
    <w:rsid w:val="00D20CC3"/>
    <w:rsid w:val="00D210B1"/>
    <w:rsid w:val="00D210DF"/>
    <w:rsid w:val="00D21737"/>
    <w:rsid w:val="00D22631"/>
    <w:rsid w:val="00D22F1A"/>
    <w:rsid w:val="00D231DB"/>
    <w:rsid w:val="00D2398C"/>
    <w:rsid w:val="00D23AAB"/>
    <w:rsid w:val="00D23BC1"/>
    <w:rsid w:val="00D240DF"/>
    <w:rsid w:val="00D249BE"/>
    <w:rsid w:val="00D25322"/>
    <w:rsid w:val="00D253D6"/>
    <w:rsid w:val="00D25B9D"/>
    <w:rsid w:val="00D26DAC"/>
    <w:rsid w:val="00D26F4A"/>
    <w:rsid w:val="00D27106"/>
    <w:rsid w:val="00D31460"/>
    <w:rsid w:val="00D31BB2"/>
    <w:rsid w:val="00D329A3"/>
    <w:rsid w:val="00D33010"/>
    <w:rsid w:val="00D33E2A"/>
    <w:rsid w:val="00D341B6"/>
    <w:rsid w:val="00D341CF"/>
    <w:rsid w:val="00D343FF"/>
    <w:rsid w:val="00D34E33"/>
    <w:rsid w:val="00D34E9B"/>
    <w:rsid w:val="00D35564"/>
    <w:rsid w:val="00D35798"/>
    <w:rsid w:val="00D360E6"/>
    <w:rsid w:val="00D378EA"/>
    <w:rsid w:val="00D41706"/>
    <w:rsid w:val="00D41768"/>
    <w:rsid w:val="00D419A3"/>
    <w:rsid w:val="00D42328"/>
    <w:rsid w:val="00D430B0"/>
    <w:rsid w:val="00D4338D"/>
    <w:rsid w:val="00D43443"/>
    <w:rsid w:val="00D4495F"/>
    <w:rsid w:val="00D44B52"/>
    <w:rsid w:val="00D45BBD"/>
    <w:rsid w:val="00D45C8E"/>
    <w:rsid w:val="00D45FC4"/>
    <w:rsid w:val="00D46281"/>
    <w:rsid w:val="00D47638"/>
    <w:rsid w:val="00D478E4"/>
    <w:rsid w:val="00D47B67"/>
    <w:rsid w:val="00D50A99"/>
    <w:rsid w:val="00D5142A"/>
    <w:rsid w:val="00D514E2"/>
    <w:rsid w:val="00D51B54"/>
    <w:rsid w:val="00D5310F"/>
    <w:rsid w:val="00D5338B"/>
    <w:rsid w:val="00D53EF5"/>
    <w:rsid w:val="00D542EF"/>
    <w:rsid w:val="00D547D9"/>
    <w:rsid w:val="00D54DFC"/>
    <w:rsid w:val="00D54E2F"/>
    <w:rsid w:val="00D559E1"/>
    <w:rsid w:val="00D55B35"/>
    <w:rsid w:val="00D56AFE"/>
    <w:rsid w:val="00D56E55"/>
    <w:rsid w:val="00D573C8"/>
    <w:rsid w:val="00D573FA"/>
    <w:rsid w:val="00D57490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90B"/>
    <w:rsid w:val="00D61EE6"/>
    <w:rsid w:val="00D63369"/>
    <w:rsid w:val="00D63827"/>
    <w:rsid w:val="00D642D1"/>
    <w:rsid w:val="00D6459A"/>
    <w:rsid w:val="00D64F46"/>
    <w:rsid w:val="00D66C7A"/>
    <w:rsid w:val="00D66D0A"/>
    <w:rsid w:val="00D66EE4"/>
    <w:rsid w:val="00D679F7"/>
    <w:rsid w:val="00D70A26"/>
    <w:rsid w:val="00D71B3A"/>
    <w:rsid w:val="00D72055"/>
    <w:rsid w:val="00D723D8"/>
    <w:rsid w:val="00D7315D"/>
    <w:rsid w:val="00D7438D"/>
    <w:rsid w:val="00D745FC"/>
    <w:rsid w:val="00D74CA4"/>
    <w:rsid w:val="00D74E43"/>
    <w:rsid w:val="00D7603D"/>
    <w:rsid w:val="00D7667E"/>
    <w:rsid w:val="00D766EC"/>
    <w:rsid w:val="00D768E5"/>
    <w:rsid w:val="00D7698C"/>
    <w:rsid w:val="00D76EFE"/>
    <w:rsid w:val="00D77296"/>
    <w:rsid w:val="00D7729C"/>
    <w:rsid w:val="00D80108"/>
    <w:rsid w:val="00D80647"/>
    <w:rsid w:val="00D81918"/>
    <w:rsid w:val="00D81931"/>
    <w:rsid w:val="00D81A52"/>
    <w:rsid w:val="00D823FB"/>
    <w:rsid w:val="00D827A6"/>
    <w:rsid w:val="00D827AA"/>
    <w:rsid w:val="00D829EA"/>
    <w:rsid w:val="00D82AF5"/>
    <w:rsid w:val="00D82B10"/>
    <w:rsid w:val="00D8370E"/>
    <w:rsid w:val="00D83879"/>
    <w:rsid w:val="00D84D15"/>
    <w:rsid w:val="00D85204"/>
    <w:rsid w:val="00D852E7"/>
    <w:rsid w:val="00D854E6"/>
    <w:rsid w:val="00D85795"/>
    <w:rsid w:val="00D86096"/>
    <w:rsid w:val="00D86C42"/>
    <w:rsid w:val="00D86DA4"/>
    <w:rsid w:val="00D8793A"/>
    <w:rsid w:val="00D879CE"/>
    <w:rsid w:val="00D91823"/>
    <w:rsid w:val="00D92CB0"/>
    <w:rsid w:val="00D93251"/>
    <w:rsid w:val="00D936BC"/>
    <w:rsid w:val="00D93DA4"/>
    <w:rsid w:val="00D94A33"/>
    <w:rsid w:val="00D94A7E"/>
    <w:rsid w:val="00D9576B"/>
    <w:rsid w:val="00D96F76"/>
    <w:rsid w:val="00D9708D"/>
    <w:rsid w:val="00D973BA"/>
    <w:rsid w:val="00D97A90"/>
    <w:rsid w:val="00DA0399"/>
    <w:rsid w:val="00DA070F"/>
    <w:rsid w:val="00DA0791"/>
    <w:rsid w:val="00DA0866"/>
    <w:rsid w:val="00DA198A"/>
    <w:rsid w:val="00DA206F"/>
    <w:rsid w:val="00DA2575"/>
    <w:rsid w:val="00DA26C1"/>
    <w:rsid w:val="00DA29AA"/>
    <w:rsid w:val="00DA2BFE"/>
    <w:rsid w:val="00DA2D18"/>
    <w:rsid w:val="00DA2F09"/>
    <w:rsid w:val="00DA31B6"/>
    <w:rsid w:val="00DA3470"/>
    <w:rsid w:val="00DA34D3"/>
    <w:rsid w:val="00DA363F"/>
    <w:rsid w:val="00DA3BDD"/>
    <w:rsid w:val="00DA4066"/>
    <w:rsid w:val="00DA482B"/>
    <w:rsid w:val="00DA62E3"/>
    <w:rsid w:val="00DA64C5"/>
    <w:rsid w:val="00DA659B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A28"/>
    <w:rsid w:val="00DB5E69"/>
    <w:rsid w:val="00DB6B5B"/>
    <w:rsid w:val="00DB6D2E"/>
    <w:rsid w:val="00DB7156"/>
    <w:rsid w:val="00DB7343"/>
    <w:rsid w:val="00DC017C"/>
    <w:rsid w:val="00DC050D"/>
    <w:rsid w:val="00DC06F5"/>
    <w:rsid w:val="00DC0AFE"/>
    <w:rsid w:val="00DC0F66"/>
    <w:rsid w:val="00DC102A"/>
    <w:rsid w:val="00DC13AF"/>
    <w:rsid w:val="00DC1672"/>
    <w:rsid w:val="00DC26DF"/>
    <w:rsid w:val="00DC2747"/>
    <w:rsid w:val="00DC2E69"/>
    <w:rsid w:val="00DC596C"/>
    <w:rsid w:val="00DC66BF"/>
    <w:rsid w:val="00DC6BA4"/>
    <w:rsid w:val="00DC70DC"/>
    <w:rsid w:val="00DC75ED"/>
    <w:rsid w:val="00DC7931"/>
    <w:rsid w:val="00DD0972"/>
    <w:rsid w:val="00DD09E4"/>
    <w:rsid w:val="00DD12B0"/>
    <w:rsid w:val="00DD12DB"/>
    <w:rsid w:val="00DD1323"/>
    <w:rsid w:val="00DD20FE"/>
    <w:rsid w:val="00DD2D1F"/>
    <w:rsid w:val="00DD35B9"/>
    <w:rsid w:val="00DD3746"/>
    <w:rsid w:val="00DD519C"/>
    <w:rsid w:val="00DD5360"/>
    <w:rsid w:val="00DD559D"/>
    <w:rsid w:val="00DD5CB2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9D2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42F"/>
    <w:rsid w:val="00DE5B86"/>
    <w:rsid w:val="00DE5BF0"/>
    <w:rsid w:val="00DE660E"/>
    <w:rsid w:val="00DE6667"/>
    <w:rsid w:val="00DE6765"/>
    <w:rsid w:val="00DE6AFE"/>
    <w:rsid w:val="00DE6B0E"/>
    <w:rsid w:val="00DE6D4C"/>
    <w:rsid w:val="00DF1430"/>
    <w:rsid w:val="00DF16F2"/>
    <w:rsid w:val="00DF18FE"/>
    <w:rsid w:val="00DF2692"/>
    <w:rsid w:val="00DF2901"/>
    <w:rsid w:val="00DF2ABD"/>
    <w:rsid w:val="00DF36A3"/>
    <w:rsid w:val="00DF447E"/>
    <w:rsid w:val="00DF4637"/>
    <w:rsid w:val="00DF4A4C"/>
    <w:rsid w:val="00DF4D37"/>
    <w:rsid w:val="00DF4DED"/>
    <w:rsid w:val="00DF57E1"/>
    <w:rsid w:val="00DF58B7"/>
    <w:rsid w:val="00DF5BB8"/>
    <w:rsid w:val="00DF5D5B"/>
    <w:rsid w:val="00DF6291"/>
    <w:rsid w:val="00DF680C"/>
    <w:rsid w:val="00DF6910"/>
    <w:rsid w:val="00DF6E4C"/>
    <w:rsid w:val="00DF7ADF"/>
    <w:rsid w:val="00E01062"/>
    <w:rsid w:val="00E011E8"/>
    <w:rsid w:val="00E01994"/>
    <w:rsid w:val="00E024AC"/>
    <w:rsid w:val="00E02CAD"/>
    <w:rsid w:val="00E0319E"/>
    <w:rsid w:val="00E0441D"/>
    <w:rsid w:val="00E0464D"/>
    <w:rsid w:val="00E048E8"/>
    <w:rsid w:val="00E050C6"/>
    <w:rsid w:val="00E056B5"/>
    <w:rsid w:val="00E0571D"/>
    <w:rsid w:val="00E05E9D"/>
    <w:rsid w:val="00E06938"/>
    <w:rsid w:val="00E06AD3"/>
    <w:rsid w:val="00E06E19"/>
    <w:rsid w:val="00E10098"/>
    <w:rsid w:val="00E11326"/>
    <w:rsid w:val="00E12099"/>
    <w:rsid w:val="00E12152"/>
    <w:rsid w:val="00E1229B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7136"/>
    <w:rsid w:val="00E1721E"/>
    <w:rsid w:val="00E20F01"/>
    <w:rsid w:val="00E20F86"/>
    <w:rsid w:val="00E21240"/>
    <w:rsid w:val="00E2130A"/>
    <w:rsid w:val="00E2162B"/>
    <w:rsid w:val="00E21C95"/>
    <w:rsid w:val="00E2242D"/>
    <w:rsid w:val="00E23083"/>
    <w:rsid w:val="00E23782"/>
    <w:rsid w:val="00E243AB"/>
    <w:rsid w:val="00E24719"/>
    <w:rsid w:val="00E248EE"/>
    <w:rsid w:val="00E25097"/>
    <w:rsid w:val="00E25C8C"/>
    <w:rsid w:val="00E2680F"/>
    <w:rsid w:val="00E2683E"/>
    <w:rsid w:val="00E268E5"/>
    <w:rsid w:val="00E27890"/>
    <w:rsid w:val="00E27934"/>
    <w:rsid w:val="00E27A88"/>
    <w:rsid w:val="00E27D7B"/>
    <w:rsid w:val="00E27F4E"/>
    <w:rsid w:val="00E30735"/>
    <w:rsid w:val="00E3080C"/>
    <w:rsid w:val="00E30A56"/>
    <w:rsid w:val="00E31AEE"/>
    <w:rsid w:val="00E31B91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6198"/>
    <w:rsid w:val="00E376BF"/>
    <w:rsid w:val="00E37C10"/>
    <w:rsid w:val="00E405D3"/>
    <w:rsid w:val="00E40D24"/>
    <w:rsid w:val="00E40E3C"/>
    <w:rsid w:val="00E4167E"/>
    <w:rsid w:val="00E417DF"/>
    <w:rsid w:val="00E41F5B"/>
    <w:rsid w:val="00E4200F"/>
    <w:rsid w:val="00E42116"/>
    <w:rsid w:val="00E4297E"/>
    <w:rsid w:val="00E43C7D"/>
    <w:rsid w:val="00E445DE"/>
    <w:rsid w:val="00E449B5"/>
    <w:rsid w:val="00E454C7"/>
    <w:rsid w:val="00E45BA4"/>
    <w:rsid w:val="00E47E43"/>
    <w:rsid w:val="00E503E8"/>
    <w:rsid w:val="00E508CA"/>
    <w:rsid w:val="00E50F96"/>
    <w:rsid w:val="00E515D9"/>
    <w:rsid w:val="00E516DF"/>
    <w:rsid w:val="00E52675"/>
    <w:rsid w:val="00E5302C"/>
    <w:rsid w:val="00E5307D"/>
    <w:rsid w:val="00E53AA9"/>
    <w:rsid w:val="00E549C8"/>
    <w:rsid w:val="00E55153"/>
    <w:rsid w:val="00E55C23"/>
    <w:rsid w:val="00E56079"/>
    <w:rsid w:val="00E56093"/>
    <w:rsid w:val="00E5656C"/>
    <w:rsid w:val="00E566D6"/>
    <w:rsid w:val="00E57073"/>
    <w:rsid w:val="00E579BD"/>
    <w:rsid w:val="00E60470"/>
    <w:rsid w:val="00E61BF8"/>
    <w:rsid w:val="00E62404"/>
    <w:rsid w:val="00E62CE5"/>
    <w:rsid w:val="00E63A33"/>
    <w:rsid w:val="00E63A9B"/>
    <w:rsid w:val="00E63DEB"/>
    <w:rsid w:val="00E643BB"/>
    <w:rsid w:val="00E65489"/>
    <w:rsid w:val="00E65D5F"/>
    <w:rsid w:val="00E66340"/>
    <w:rsid w:val="00E66DC0"/>
    <w:rsid w:val="00E67DB4"/>
    <w:rsid w:val="00E701E8"/>
    <w:rsid w:val="00E70355"/>
    <w:rsid w:val="00E7059A"/>
    <w:rsid w:val="00E721F0"/>
    <w:rsid w:val="00E72B2F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6087"/>
    <w:rsid w:val="00E76816"/>
    <w:rsid w:val="00E776EB"/>
    <w:rsid w:val="00E77B76"/>
    <w:rsid w:val="00E77C0F"/>
    <w:rsid w:val="00E8046D"/>
    <w:rsid w:val="00E8196D"/>
    <w:rsid w:val="00E81BC5"/>
    <w:rsid w:val="00E81D78"/>
    <w:rsid w:val="00E8298E"/>
    <w:rsid w:val="00E82D02"/>
    <w:rsid w:val="00E838E7"/>
    <w:rsid w:val="00E83938"/>
    <w:rsid w:val="00E84691"/>
    <w:rsid w:val="00E84753"/>
    <w:rsid w:val="00E84806"/>
    <w:rsid w:val="00E8508E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ED9"/>
    <w:rsid w:val="00E90F9E"/>
    <w:rsid w:val="00E9134D"/>
    <w:rsid w:val="00E91757"/>
    <w:rsid w:val="00E91A2A"/>
    <w:rsid w:val="00E92209"/>
    <w:rsid w:val="00E92EEE"/>
    <w:rsid w:val="00E93670"/>
    <w:rsid w:val="00E936FE"/>
    <w:rsid w:val="00E93702"/>
    <w:rsid w:val="00E94497"/>
    <w:rsid w:val="00E9487D"/>
    <w:rsid w:val="00E949F3"/>
    <w:rsid w:val="00E94D85"/>
    <w:rsid w:val="00E970E9"/>
    <w:rsid w:val="00E9728D"/>
    <w:rsid w:val="00E974BE"/>
    <w:rsid w:val="00E974FD"/>
    <w:rsid w:val="00E97598"/>
    <w:rsid w:val="00EA1507"/>
    <w:rsid w:val="00EA16C5"/>
    <w:rsid w:val="00EA1784"/>
    <w:rsid w:val="00EA1FE0"/>
    <w:rsid w:val="00EA250F"/>
    <w:rsid w:val="00EA2695"/>
    <w:rsid w:val="00EA27FF"/>
    <w:rsid w:val="00EA2845"/>
    <w:rsid w:val="00EA2B8B"/>
    <w:rsid w:val="00EA307A"/>
    <w:rsid w:val="00EA3458"/>
    <w:rsid w:val="00EA3CAF"/>
    <w:rsid w:val="00EA4449"/>
    <w:rsid w:val="00EA4B25"/>
    <w:rsid w:val="00EA4DB9"/>
    <w:rsid w:val="00EA59DF"/>
    <w:rsid w:val="00EA5B5A"/>
    <w:rsid w:val="00EA68D9"/>
    <w:rsid w:val="00EA69C3"/>
    <w:rsid w:val="00EA78EC"/>
    <w:rsid w:val="00EB0487"/>
    <w:rsid w:val="00EB04D3"/>
    <w:rsid w:val="00EB0C2E"/>
    <w:rsid w:val="00EB0D57"/>
    <w:rsid w:val="00EB14D2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BA6"/>
    <w:rsid w:val="00EB5CA2"/>
    <w:rsid w:val="00EB5EBE"/>
    <w:rsid w:val="00EB69C4"/>
    <w:rsid w:val="00EB6C37"/>
    <w:rsid w:val="00EB7178"/>
    <w:rsid w:val="00EB7430"/>
    <w:rsid w:val="00EC12CD"/>
    <w:rsid w:val="00EC15B9"/>
    <w:rsid w:val="00EC16E3"/>
    <w:rsid w:val="00EC244E"/>
    <w:rsid w:val="00EC2BB7"/>
    <w:rsid w:val="00EC3A5E"/>
    <w:rsid w:val="00EC3A5F"/>
    <w:rsid w:val="00EC3B43"/>
    <w:rsid w:val="00EC3F98"/>
    <w:rsid w:val="00EC4275"/>
    <w:rsid w:val="00EC4415"/>
    <w:rsid w:val="00EC48C2"/>
    <w:rsid w:val="00EC4F6F"/>
    <w:rsid w:val="00EC5986"/>
    <w:rsid w:val="00EC5FC3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2FA"/>
    <w:rsid w:val="00ED6676"/>
    <w:rsid w:val="00ED6E47"/>
    <w:rsid w:val="00ED6EF2"/>
    <w:rsid w:val="00ED7C5A"/>
    <w:rsid w:val="00EE0C04"/>
    <w:rsid w:val="00EE0ECD"/>
    <w:rsid w:val="00EE127A"/>
    <w:rsid w:val="00EE17F6"/>
    <w:rsid w:val="00EE2316"/>
    <w:rsid w:val="00EE26E0"/>
    <w:rsid w:val="00EE2A51"/>
    <w:rsid w:val="00EE34CB"/>
    <w:rsid w:val="00EE3D1D"/>
    <w:rsid w:val="00EE3F98"/>
    <w:rsid w:val="00EE4B6B"/>
    <w:rsid w:val="00EE50A7"/>
    <w:rsid w:val="00EE6D86"/>
    <w:rsid w:val="00EE7202"/>
    <w:rsid w:val="00EE7C4C"/>
    <w:rsid w:val="00EE7F69"/>
    <w:rsid w:val="00EF0B53"/>
    <w:rsid w:val="00EF0B80"/>
    <w:rsid w:val="00EF1E60"/>
    <w:rsid w:val="00EF1F54"/>
    <w:rsid w:val="00EF2A8C"/>
    <w:rsid w:val="00EF3E39"/>
    <w:rsid w:val="00EF463C"/>
    <w:rsid w:val="00EF53AD"/>
    <w:rsid w:val="00EF5837"/>
    <w:rsid w:val="00EF72EA"/>
    <w:rsid w:val="00EF778E"/>
    <w:rsid w:val="00EF793D"/>
    <w:rsid w:val="00F01021"/>
    <w:rsid w:val="00F019F9"/>
    <w:rsid w:val="00F0359D"/>
    <w:rsid w:val="00F037F3"/>
    <w:rsid w:val="00F03989"/>
    <w:rsid w:val="00F03A52"/>
    <w:rsid w:val="00F04226"/>
    <w:rsid w:val="00F0551E"/>
    <w:rsid w:val="00F0591C"/>
    <w:rsid w:val="00F069CF"/>
    <w:rsid w:val="00F07571"/>
    <w:rsid w:val="00F075D8"/>
    <w:rsid w:val="00F1001A"/>
    <w:rsid w:val="00F10CD9"/>
    <w:rsid w:val="00F10E9D"/>
    <w:rsid w:val="00F1263E"/>
    <w:rsid w:val="00F127AC"/>
    <w:rsid w:val="00F1316C"/>
    <w:rsid w:val="00F13948"/>
    <w:rsid w:val="00F14263"/>
    <w:rsid w:val="00F14365"/>
    <w:rsid w:val="00F1437D"/>
    <w:rsid w:val="00F147CE"/>
    <w:rsid w:val="00F148C7"/>
    <w:rsid w:val="00F14DC5"/>
    <w:rsid w:val="00F15415"/>
    <w:rsid w:val="00F1543F"/>
    <w:rsid w:val="00F1549A"/>
    <w:rsid w:val="00F16510"/>
    <w:rsid w:val="00F170E8"/>
    <w:rsid w:val="00F17CC1"/>
    <w:rsid w:val="00F200CC"/>
    <w:rsid w:val="00F20A80"/>
    <w:rsid w:val="00F21067"/>
    <w:rsid w:val="00F21432"/>
    <w:rsid w:val="00F22107"/>
    <w:rsid w:val="00F2222A"/>
    <w:rsid w:val="00F2249F"/>
    <w:rsid w:val="00F226EF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775D"/>
    <w:rsid w:val="00F27D3F"/>
    <w:rsid w:val="00F30B20"/>
    <w:rsid w:val="00F30C30"/>
    <w:rsid w:val="00F30D8A"/>
    <w:rsid w:val="00F30F7E"/>
    <w:rsid w:val="00F31051"/>
    <w:rsid w:val="00F31419"/>
    <w:rsid w:val="00F326ED"/>
    <w:rsid w:val="00F328B3"/>
    <w:rsid w:val="00F32F76"/>
    <w:rsid w:val="00F33131"/>
    <w:rsid w:val="00F33363"/>
    <w:rsid w:val="00F3348A"/>
    <w:rsid w:val="00F338EB"/>
    <w:rsid w:val="00F3410D"/>
    <w:rsid w:val="00F351E7"/>
    <w:rsid w:val="00F35598"/>
    <w:rsid w:val="00F35A62"/>
    <w:rsid w:val="00F362B5"/>
    <w:rsid w:val="00F36505"/>
    <w:rsid w:val="00F3671A"/>
    <w:rsid w:val="00F36C88"/>
    <w:rsid w:val="00F37248"/>
    <w:rsid w:val="00F373E5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5EBD"/>
    <w:rsid w:val="00F46594"/>
    <w:rsid w:val="00F468BF"/>
    <w:rsid w:val="00F46C34"/>
    <w:rsid w:val="00F4739C"/>
    <w:rsid w:val="00F47918"/>
    <w:rsid w:val="00F47FB4"/>
    <w:rsid w:val="00F5163D"/>
    <w:rsid w:val="00F51D47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1CC"/>
    <w:rsid w:val="00F56341"/>
    <w:rsid w:val="00F567E4"/>
    <w:rsid w:val="00F5755C"/>
    <w:rsid w:val="00F57629"/>
    <w:rsid w:val="00F5798A"/>
    <w:rsid w:val="00F57FD6"/>
    <w:rsid w:val="00F623C8"/>
    <w:rsid w:val="00F62CDD"/>
    <w:rsid w:val="00F636B6"/>
    <w:rsid w:val="00F639E7"/>
    <w:rsid w:val="00F63A6A"/>
    <w:rsid w:val="00F63CD5"/>
    <w:rsid w:val="00F63E92"/>
    <w:rsid w:val="00F64908"/>
    <w:rsid w:val="00F6578E"/>
    <w:rsid w:val="00F6594D"/>
    <w:rsid w:val="00F6618E"/>
    <w:rsid w:val="00F66E0D"/>
    <w:rsid w:val="00F67336"/>
    <w:rsid w:val="00F6784E"/>
    <w:rsid w:val="00F67AE9"/>
    <w:rsid w:val="00F67D31"/>
    <w:rsid w:val="00F70139"/>
    <w:rsid w:val="00F7068F"/>
    <w:rsid w:val="00F70957"/>
    <w:rsid w:val="00F70B1E"/>
    <w:rsid w:val="00F728FD"/>
    <w:rsid w:val="00F72F36"/>
    <w:rsid w:val="00F73272"/>
    <w:rsid w:val="00F73B8A"/>
    <w:rsid w:val="00F74C16"/>
    <w:rsid w:val="00F75119"/>
    <w:rsid w:val="00F77907"/>
    <w:rsid w:val="00F77DEC"/>
    <w:rsid w:val="00F77EF1"/>
    <w:rsid w:val="00F800D1"/>
    <w:rsid w:val="00F815D8"/>
    <w:rsid w:val="00F8162A"/>
    <w:rsid w:val="00F824B5"/>
    <w:rsid w:val="00F82756"/>
    <w:rsid w:val="00F827EE"/>
    <w:rsid w:val="00F82F13"/>
    <w:rsid w:val="00F83271"/>
    <w:rsid w:val="00F83C38"/>
    <w:rsid w:val="00F84193"/>
    <w:rsid w:val="00F843CB"/>
    <w:rsid w:val="00F84A93"/>
    <w:rsid w:val="00F8535A"/>
    <w:rsid w:val="00F859A5"/>
    <w:rsid w:val="00F85B23"/>
    <w:rsid w:val="00F85D92"/>
    <w:rsid w:val="00F862B8"/>
    <w:rsid w:val="00F90E02"/>
    <w:rsid w:val="00F91615"/>
    <w:rsid w:val="00F91993"/>
    <w:rsid w:val="00F91AB1"/>
    <w:rsid w:val="00F92154"/>
    <w:rsid w:val="00F92487"/>
    <w:rsid w:val="00F93093"/>
    <w:rsid w:val="00F93417"/>
    <w:rsid w:val="00F93AA4"/>
    <w:rsid w:val="00F9524D"/>
    <w:rsid w:val="00F9559A"/>
    <w:rsid w:val="00F9571E"/>
    <w:rsid w:val="00F95A24"/>
    <w:rsid w:val="00F961E9"/>
    <w:rsid w:val="00F96223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F53"/>
    <w:rsid w:val="00FA43FF"/>
    <w:rsid w:val="00FA4A78"/>
    <w:rsid w:val="00FA4AE3"/>
    <w:rsid w:val="00FA4F1D"/>
    <w:rsid w:val="00FA54B3"/>
    <w:rsid w:val="00FA5D18"/>
    <w:rsid w:val="00FA699F"/>
    <w:rsid w:val="00FA71CE"/>
    <w:rsid w:val="00FA7BED"/>
    <w:rsid w:val="00FB0034"/>
    <w:rsid w:val="00FB0521"/>
    <w:rsid w:val="00FB061B"/>
    <w:rsid w:val="00FB188B"/>
    <w:rsid w:val="00FB1C1F"/>
    <w:rsid w:val="00FB1E32"/>
    <w:rsid w:val="00FB2630"/>
    <w:rsid w:val="00FB2BA8"/>
    <w:rsid w:val="00FB3384"/>
    <w:rsid w:val="00FB350A"/>
    <w:rsid w:val="00FB3744"/>
    <w:rsid w:val="00FB3FE8"/>
    <w:rsid w:val="00FB4EAB"/>
    <w:rsid w:val="00FB5CE2"/>
    <w:rsid w:val="00FB7294"/>
    <w:rsid w:val="00FB72AE"/>
    <w:rsid w:val="00FB75C1"/>
    <w:rsid w:val="00FB7624"/>
    <w:rsid w:val="00FB7BDF"/>
    <w:rsid w:val="00FB7C5B"/>
    <w:rsid w:val="00FC057B"/>
    <w:rsid w:val="00FC0D20"/>
    <w:rsid w:val="00FC1799"/>
    <w:rsid w:val="00FC2D98"/>
    <w:rsid w:val="00FC2DB1"/>
    <w:rsid w:val="00FC33FB"/>
    <w:rsid w:val="00FC3518"/>
    <w:rsid w:val="00FC4138"/>
    <w:rsid w:val="00FC44C1"/>
    <w:rsid w:val="00FC496C"/>
    <w:rsid w:val="00FC5255"/>
    <w:rsid w:val="00FC5884"/>
    <w:rsid w:val="00FC58C6"/>
    <w:rsid w:val="00FC6431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2B6B"/>
    <w:rsid w:val="00FD33E8"/>
    <w:rsid w:val="00FD40EF"/>
    <w:rsid w:val="00FD5C14"/>
    <w:rsid w:val="00FD768E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C08"/>
    <w:rsid w:val="00FE1EEC"/>
    <w:rsid w:val="00FE22DE"/>
    <w:rsid w:val="00FE24B0"/>
    <w:rsid w:val="00FE25CC"/>
    <w:rsid w:val="00FE2D1E"/>
    <w:rsid w:val="00FE2DB9"/>
    <w:rsid w:val="00FE2F19"/>
    <w:rsid w:val="00FE3149"/>
    <w:rsid w:val="00FE321E"/>
    <w:rsid w:val="00FE3594"/>
    <w:rsid w:val="00FE3CDE"/>
    <w:rsid w:val="00FE41EB"/>
    <w:rsid w:val="00FE4C8C"/>
    <w:rsid w:val="00FE4D9D"/>
    <w:rsid w:val="00FE4F2A"/>
    <w:rsid w:val="00FE5323"/>
    <w:rsid w:val="00FE578C"/>
    <w:rsid w:val="00FE57D6"/>
    <w:rsid w:val="00FE6975"/>
    <w:rsid w:val="00FE69D9"/>
    <w:rsid w:val="00FE7839"/>
    <w:rsid w:val="00FF038D"/>
    <w:rsid w:val="00FF04BF"/>
    <w:rsid w:val="00FF0A6F"/>
    <w:rsid w:val="00FF0F55"/>
    <w:rsid w:val="00FF1187"/>
    <w:rsid w:val="00FF1D55"/>
    <w:rsid w:val="00FF1DC8"/>
    <w:rsid w:val="00FF23DB"/>
    <w:rsid w:val="00FF2E0D"/>
    <w:rsid w:val="00FF30AC"/>
    <w:rsid w:val="00FF30C1"/>
    <w:rsid w:val="00FF37BF"/>
    <w:rsid w:val="00FF3F3F"/>
    <w:rsid w:val="00FF4113"/>
    <w:rsid w:val="00FF43ED"/>
    <w:rsid w:val="00FF4F82"/>
    <w:rsid w:val="00FF52C8"/>
    <w:rsid w:val="00FF54F9"/>
    <w:rsid w:val="00FF5571"/>
    <w:rsid w:val="00FF59AC"/>
    <w:rsid w:val="00FF6310"/>
    <w:rsid w:val="00FF6464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color w:val="522398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8934A2"/>
    <w:pPr>
      <w:keepNext/>
      <w:numPr>
        <w:numId w:val="13"/>
      </w:numPr>
      <w:spacing w:before="360" w:after="120" w:line="240" w:lineRule="exact"/>
      <w:ind w:left="851" w:hanging="851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eastAsia="Times New Roman" w:hAnsi="Fira Sans SemiBold" w:cs="Arial"/>
      <w:color w:val="522398"/>
      <w:sz w:val="24"/>
      <w:szCs w:val="20"/>
      <w:lang w:eastAsia="pl-PL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8934A2"/>
    <w:rPr>
      <w:b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eastAsia="Times New Roman" w:hAnsi="Fira Sans SemiBold" w:cs="Arial"/>
      <w:color w:val="522398"/>
      <w:spacing w:val="-2"/>
      <w:sz w:val="24"/>
      <w:szCs w:val="20"/>
      <w:lang w:eastAsia="pl-PL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 w:val="0"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9"/>
      </w:numPr>
      <w:spacing w:before="120" w:after="120"/>
      <w:ind w:left="357" w:hanging="357"/>
    </w:pPr>
    <w:rPr>
      <w:rFonts w:ascii="Fira Sans" w:hAnsi="Fira Sans" w:cs="Times New Roman"/>
      <w:b/>
      <w:bCs/>
      <w:color w:val="000000" w:themeColor="text1"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rFonts w:ascii="Fira Sans" w:eastAsia="Times New Roman" w:hAnsi="Fira Sans" w:cs="Times New Roman"/>
      <w:bCs/>
      <w:color w:val="000000" w:themeColor="text1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10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ascii="Fira Sans" w:hAnsi="Fira Sans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6877B6"/>
    <w:pPr>
      <w:numPr>
        <w:numId w:val="12"/>
      </w:numPr>
      <w:spacing w:before="240" w:line="240" w:lineRule="exact"/>
      <w:ind w:left="964" w:hanging="964"/>
      <w:contextualSpacing/>
      <w:jc w:val="both"/>
    </w:pPr>
    <w:rPr>
      <w:rFonts w:cs="Arial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11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ablicespisZnak">
    <w:name w:val="Tablice (spis) Znak"/>
    <w:basedOn w:val="ListanumerowanaZnak"/>
    <w:link w:val="Tablicespis"/>
    <w:rsid w:val="006877B6"/>
    <w:rPr>
      <w:rFonts w:ascii="Times New Roman" w:eastAsia="Times New Roman" w:hAnsi="Times New Roman" w:cs="Arial"/>
      <w:b/>
      <w:sz w:val="20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LID">
    <w:name w:val="LID"/>
    <w:basedOn w:val="Normalny"/>
    <w:qFormat/>
    <w:rsid w:val="00FB188B"/>
    <w:pPr>
      <w:spacing w:before="120" w:after="120" w:line="240" w:lineRule="exact"/>
    </w:pPr>
    <w:rPr>
      <w:rFonts w:cstheme="minorBidi"/>
      <w:b/>
      <w:noProof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2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twitter.com/Rzeszow_STAT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1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hyperlink" Target="https://pl-pl.facebook.com/GlownyUrzadStatystyczny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hyperlink" Target="http://rzeszow.stat.gov.pl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hyperlink" Target="mailto:sekretariatusrze@stat.gov.pl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../embeddings/oleObject2.bin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WYKRESY!$B$2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WYKRESY!$A$3:$A$19</c:f>
              <c:strCache>
                <c:ptCount val="17"/>
                <c:pt idx="0">
                  <c:v>Ogółem</c:v>
                </c:pt>
                <c:pt idx="1">
                  <c:v>w tym:</c:v>
                </c:pt>
                <c:pt idx="2">
                  <c:v>Rolnictwo, leśnictwo, łowiectwo i rybactwo</c:v>
                </c:pt>
                <c:pt idx="3">
                  <c:v>Przetwórstwo przemysłowe</c:v>
                </c:pt>
                <c:pt idx="4">
                  <c:v>Budownictwo</c:v>
                </c:pt>
                <c:pt idx="5">
                  <c:v> Handel; naprawa  pojazdów samochodowych</c:v>
                </c:pt>
                <c:pt idx="6">
                  <c:v>Transport, gospodarka magazynowa</c:v>
                </c:pt>
                <c:pt idx="7">
                  <c:v>Zakwaterowanie i gastronomia</c:v>
                </c:pt>
                <c:pt idx="8">
                  <c:v>Informacja i komunikacja</c:v>
                </c:pt>
                <c:pt idx="9">
                  <c:v>Działalność finansowa i ubezpieczeniowa</c:v>
                </c:pt>
                <c:pt idx="10">
                  <c:v>Obsługa rynku nieruchomości</c:v>
                </c:pt>
                <c:pt idx="11">
                  <c:v>Działalność profesjonalna, naukowa i techniczna</c:v>
                </c:pt>
                <c:pt idx="12">
                  <c:v>Administrowanie i działalność wspierająca</c:v>
                </c:pt>
                <c:pt idx="13">
                  <c:v>Edukacja</c:v>
                </c:pt>
                <c:pt idx="14">
                  <c:v>Opieka zdrowotna i pomoc społeczna</c:v>
                </c:pt>
                <c:pt idx="15">
                  <c:v>Działalność związana z kulturą, rozrywką i rekreacją</c:v>
                </c:pt>
                <c:pt idx="16">
                  <c:v>Pozostała działalność usługowa</c:v>
                </c:pt>
              </c:strCache>
            </c:strRef>
          </c:cat>
          <c:val>
            <c:numRef>
              <c:f>WYKRESY!$B$3:$B$19</c:f>
              <c:numCache>
                <c:formatCode>General</c:formatCode>
                <c:ptCount val="17"/>
                <c:pt idx="0" formatCode="0.0">
                  <c:v>81.750083977158212</c:v>
                </c:pt>
                <c:pt idx="2" formatCode="0.0">
                  <c:v>68.571428571428569</c:v>
                </c:pt>
                <c:pt idx="3" formatCode="0.0">
                  <c:v>83.242976835879745</c:v>
                </c:pt>
                <c:pt idx="4" formatCode="0.0">
                  <c:v>81.572895906791359</c:v>
                </c:pt>
                <c:pt idx="5" formatCode="0.0">
                  <c:v>86.272824919441462</c:v>
                </c:pt>
                <c:pt idx="6" formatCode="0.0">
                  <c:v>71.777546777546775</c:v>
                </c:pt>
                <c:pt idx="7" formatCode="0.0">
                  <c:v>69.831849653808106</c:v>
                </c:pt>
                <c:pt idx="8" formatCode="0.0">
                  <c:v>93.347873500545248</c:v>
                </c:pt>
                <c:pt idx="9" formatCode="0.0">
                  <c:v>87.251655629139066</c:v>
                </c:pt>
                <c:pt idx="10" formatCode="0.0">
                  <c:v>83.290043290043286</c:v>
                </c:pt>
                <c:pt idx="11" formatCode="0.0">
                  <c:v>79.951544518473654</c:v>
                </c:pt>
                <c:pt idx="12" formatCode="0.0">
                  <c:v>83.07692307692308</c:v>
                </c:pt>
                <c:pt idx="13" formatCode="0.0">
                  <c:v>69.174757281553397</c:v>
                </c:pt>
                <c:pt idx="14" formatCode="0.0">
                  <c:v>84.05797101449275</c:v>
                </c:pt>
                <c:pt idx="15" formatCode="0.0">
                  <c:v>78.657074340527572</c:v>
                </c:pt>
                <c:pt idx="16" formatCode="0.0">
                  <c:v>79.499467518636848</c:v>
                </c:pt>
              </c:numCache>
            </c:numRef>
          </c:val>
        </c:ser>
        <c:ser>
          <c:idx val="1"/>
          <c:order val="1"/>
          <c:tx>
            <c:strRef>
              <c:f>WYKRESY!$C$2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CFAFE7"/>
            </a:solidFill>
            <a:ln>
              <a:noFill/>
            </a:ln>
            <a:effectLst/>
          </c:spPr>
          <c:invertIfNegative val="0"/>
          <c:cat>
            <c:strRef>
              <c:f>WYKRESY!$A$3:$A$19</c:f>
              <c:strCache>
                <c:ptCount val="17"/>
                <c:pt idx="0">
                  <c:v>Ogółem</c:v>
                </c:pt>
                <c:pt idx="1">
                  <c:v>w tym:</c:v>
                </c:pt>
                <c:pt idx="2">
                  <c:v>Rolnictwo, leśnictwo, łowiectwo i rybactwo</c:v>
                </c:pt>
                <c:pt idx="3">
                  <c:v>Przetwórstwo przemysłowe</c:v>
                </c:pt>
                <c:pt idx="4">
                  <c:v>Budownictwo</c:v>
                </c:pt>
                <c:pt idx="5">
                  <c:v> Handel; naprawa  pojazdów samochodowych</c:v>
                </c:pt>
                <c:pt idx="6">
                  <c:v>Transport, gospodarka magazynowa</c:v>
                </c:pt>
                <c:pt idx="7">
                  <c:v>Zakwaterowanie i gastronomia</c:v>
                </c:pt>
                <c:pt idx="8">
                  <c:v>Informacja i komunikacja</c:v>
                </c:pt>
                <c:pt idx="9">
                  <c:v>Działalność finansowa i ubezpieczeniowa</c:v>
                </c:pt>
                <c:pt idx="10">
                  <c:v>Obsługa rynku nieruchomości</c:v>
                </c:pt>
                <c:pt idx="11">
                  <c:v>Działalność profesjonalna, naukowa i techniczna</c:v>
                </c:pt>
                <c:pt idx="12">
                  <c:v>Administrowanie i działalność wspierająca</c:v>
                </c:pt>
                <c:pt idx="13">
                  <c:v>Edukacja</c:v>
                </c:pt>
                <c:pt idx="14">
                  <c:v>Opieka zdrowotna i pomoc społeczna</c:v>
                </c:pt>
                <c:pt idx="15">
                  <c:v>Działalność związana z kulturą, rozrywką i rekreacją</c:v>
                </c:pt>
                <c:pt idx="16">
                  <c:v>Pozostała działalność usługowa</c:v>
                </c:pt>
              </c:strCache>
            </c:strRef>
          </c:cat>
          <c:val>
            <c:numRef>
              <c:f>WYKRESY!$C$3:$C$19</c:f>
              <c:numCache>
                <c:formatCode>General</c:formatCode>
                <c:ptCount val="17"/>
                <c:pt idx="0" formatCode="0.0">
                  <c:v>81.818181818181827</c:v>
                </c:pt>
                <c:pt idx="2" formatCode="0.0">
                  <c:v>50</c:v>
                </c:pt>
                <c:pt idx="3" formatCode="0.0">
                  <c:v>75.510204081632651</c:v>
                </c:pt>
                <c:pt idx="4" formatCode="0.0">
                  <c:v>67.741935483870961</c:v>
                </c:pt>
                <c:pt idx="5" formatCode="0.0">
                  <c:v>85.714285714285708</c:v>
                </c:pt>
                <c:pt idx="6" formatCode="0.0">
                  <c:v>56.481481481481474</c:v>
                </c:pt>
                <c:pt idx="7" formatCode="0.0">
                  <c:v>96.875</c:v>
                </c:pt>
                <c:pt idx="8" formatCode="0.0">
                  <c:v>68.965517241379317</c:v>
                </c:pt>
                <c:pt idx="9" formatCode="0.0">
                  <c:v>142.85714285714286</c:v>
                </c:pt>
                <c:pt idx="10" formatCode="0.0">
                  <c:v>83.870967741935488</c:v>
                </c:pt>
                <c:pt idx="11" formatCode="0.0">
                  <c:v>104.25531914893618</c:v>
                </c:pt>
                <c:pt idx="12" formatCode="0.0">
                  <c:v>118.18181818181819</c:v>
                </c:pt>
                <c:pt idx="13" formatCode="0.0">
                  <c:v>125</c:v>
                </c:pt>
                <c:pt idx="14" formatCode="0.0">
                  <c:v>141.02564102564102</c:v>
                </c:pt>
                <c:pt idx="15" formatCode="0.0">
                  <c:v>91.666666666666657</c:v>
                </c:pt>
                <c:pt idx="16" formatCode="0.0">
                  <c:v>80.357142857142861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76131296"/>
        <c:axId val="876134560"/>
      </c:barChart>
      <c:catAx>
        <c:axId val="8761312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76134560"/>
        <c:crossesAt val="100"/>
        <c:auto val="1"/>
        <c:lblAlgn val="ctr"/>
        <c:lblOffset val="100"/>
        <c:noMultiLvlLbl val="0"/>
      </c:catAx>
      <c:valAx>
        <c:axId val="876134560"/>
        <c:scaling>
          <c:orientation val="minMax"/>
          <c:max val="160"/>
          <c:min val="4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76131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WYKRESY!$D$2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WYKRESY!$A$3:$A$19</c:f>
              <c:strCache>
                <c:ptCount val="17"/>
                <c:pt idx="0">
                  <c:v>Ogółem</c:v>
                </c:pt>
                <c:pt idx="1">
                  <c:v>w tym:</c:v>
                </c:pt>
                <c:pt idx="2">
                  <c:v>Rolnictwo, leśnictwo, łowiectwo i rybactwo</c:v>
                </c:pt>
                <c:pt idx="3">
                  <c:v>Przetwórstwo przemysłowe</c:v>
                </c:pt>
                <c:pt idx="4">
                  <c:v>Budownictwo</c:v>
                </c:pt>
                <c:pt idx="5">
                  <c:v> Handel; naprawa  pojazdów samochodowych</c:v>
                </c:pt>
                <c:pt idx="6">
                  <c:v>Transport, gospodarka magazynowa</c:v>
                </c:pt>
                <c:pt idx="7">
                  <c:v>Zakwaterowanie i gastronomia</c:v>
                </c:pt>
                <c:pt idx="8">
                  <c:v>Informacja i komunikacja</c:v>
                </c:pt>
                <c:pt idx="9">
                  <c:v>Działalność finansowa i ubezpieczeniowa</c:v>
                </c:pt>
                <c:pt idx="10">
                  <c:v>Obsługa rynku nieruchomości</c:v>
                </c:pt>
                <c:pt idx="11">
                  <c:v>Działalność profesjonalna, naukowa i techniczna</c:v>
                </c:pt>
                <c:pt idx="12">
                  <c:v>Administrowanie i działalność wspierająca</c:v>
                </c:pt>
                <c:pt idx="13">
                  <c:v>Edukacja</c:v>
                </c:pt>
                <c:pt idx="14">
                  <c:v>Opieka zdrowotna i pomoc społeczna</c:v>
                </c:pt>
                <c:pt idx="15">
                  <c:v>Działalność związana z kulturą, rozrywką i rekreacją</c:v>
                </c:pt>
                <c:pt idx="16">
                  <c:v>Pozostała działalność usługowa</c:v>
                </c:pt>
              </c:strCache>
            </c:strRef>
          </c:cat>
          <c:val>
            <c:numRef>
              <c:f>WYKRESY!$D$3:$D$19</c:f>
              <c:numCache>
                <c:formatCode>General</c:formatCode>
                <c:ptCount val="17"/>
                <c:pt idx="0" formatCode="0.0">
                  <c:v>78.178703968027406</c:v>
                </c:pt>
                <c:pt idx="2" formatCode="0.0">
                  <c:v>72.857142857142847</c:v>
                </c:pt>
                <c:pt idx="3" formatCode="0.0">
                  <c:v>77.007064868336556</c:v>
                </c:pt>
                <c:pt idx="4" formatCode="0.0">
                  <c:v>73.107569721115539</c:v>
                </c:pt>
                <c:pt idx="5" formatCode="0.0">
                  <c:v>80.381086803105148</c:v>
                </c:pt>
                <c:pt idx="6" formatCode="0.0">
                  <c:v>81.56182212581345</c:v>
                </c:pt>
                <c:pt idx="7" formatCode="0.0">
                  <c:v>79.787234042553195</c:v>
                </c:pt>
                <c:pt idx="8" formatCode="0.0">
                  <c:v>81.713344316309716</c:v>
                </c:pt>
                <c:pt idx="9" formatCode="0.0">
                  <c:v>75.785582255083185</c:v>
                </c:pt>
                <c:pt idx="10" formatCode="0.0">
                  <c:v>72.29299363057325</c:v>
                </c:pt>
                <c:pt idx="11" formatCode="0.0">
                  <c:v>73.690773067331676</c:v>
                </c:pt>
                <c:pt idx="12" formatCode="0.0">
                  <c:v>81.751824817518255</c:v>
                </c:pt>
                <c:pt idx="13" formatCode="0.0">
                  <c:v>79.509632224168129</c:v>
                </c:pt>
                <c:pt idx="14" formatCode="0.0">
                  <c:v>85.561497326203209</c:v>
                </c:pt>
                <c:pt idx="15" formatCode="0.0">
                  <c:v>74.8</c:v>
                </c:pt>
                <c:pt idx="16" formatCode="0.0">
                  <c:v>81.924198250728864</c:v>
                </c:pt>
              </c:numCache>
            </c:numRef>
          </c:val>
        </c:ser>
        <c:ser>
          <c:idx val="1"/>
          <c:order val="1"/>
          <c:tx>
            <c:strRef>
              <c:f>WYKRESY!$E$2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CFAFE7"/>
            </a:solidFill>
            <a:ln>
              <a:noFill/>
            </a:ln>
            <a:effectLst/>
          </c:spPr>
          <c:invertIfNegative val="0"/>
          <c:cat>
            <c:strRef>
              <c:f>WYKRESY!$A$3:$A$19</c:f>
              <c:strCache>
                <c:ptCount val="17"/>
                <c:pt idx="0">
                  <c:v>Ogółem</c:v>
                </c:pt>
                <c:pt idx="1">
                  <c:v>w tym:</c:v>
                </c:pt>
                <c:pt idx="2">
                  <c:v>Rolnictwo, leśnictwo, łowiectwo i rybactwo</c:v>
                </c:pt>
                <c:pt idx="3">
                  <c:v>Przetwórstwo przemysłowe</c:v>
                </c:pt>
                <c:pt idx="4">
                  <c:v>Budownictwo</c:v>
                </c:pt>
                <c:pt idx="5">
                  <c:v> Handel; naprawa  pojazdów samochodowych</c:v>
                </c:pt>
                <c:pt idx="6">
                  <c:v>Transport, gospodarka magazynowa</c:v>
                </c:pt>
                <c:pt idx="7">
                  <c:v>Zakwaterowanie i gastronomia</c:v>
                </c:pt>
                <c:pt idx="8">
                  <c:v>Informacja i komunikacja</c:v>
                </c:pt>
                <c:pt idx="9">
                  <c:v>Działalność finansowa i ubezpieczeniowa</c:v>
                </c:pt>
                <c:pt idx="10">
                  <c:v>Obsługa rynku nieruchomości</c:v>
                </c:pt>
                <c:pt idx="11">
                  <c:v>Działalność profesjonalna, naukowa i techniczna</c:v>
                </c:pt>
                <c:pt idx="12">
                  <c:v>Administrowanie i działalność wspierająca</c:v>
                </c:pt>
                <c:pt idx="13">
                  <c:v>Edukacja</c:v>
                </c:pt>
                <c:pt idx="14">
                  <c:v>Opieka zdrowotna i pomoc społeczna</c:v>
                </c:pt>
                <c:pt idx="15">
                  <c:v>Działalność związana z kulturą, rozrywką i rekreacją</c:v>
                </c:pt>
                <c:pt idx="16">
                  <c:v>Pozostała działalność usługowa</c:v>
                </c:pt>
              </c:strCache>
            </c:strRef>
          </c:cat>
          <c:val>
            <c:numRef>
              <c:f>WYKRESY!$E$3:$E$19</c:f>
              <c:numCache>
                <c:formatCode>General</c:formatCode>
                <c:ptCount val="17"/>
                <c:pt idx="0" formatCode="0.0">
                  <c:v>80.715396578538105</c:v>
                </c:pt>
                <c:pt idx="2" formatCode="0.0">
                  <c:v>46.666666666666664</c:v>
                </c:pt>
                <c:pt idx="3" formatCode="0.0">
                  <c:v>76</c:v>
                </c:pt>
                <c:pt idx="4" formatCode="0.0">
                  <c:v>59.398496240601503</c:v>
                </c:pt>
                <c:pt idx="5" formatCode="0.0">
                  <c:v>86.713286713286706</c:v>
                </c:pt>
                <c:pt idx="6" formatCode="0.0">
                  <c:v>65.217391304347828</c:v>
                </c:pt>
                <c:pt idx="7" formatCode="0.0">
                  <c:v>73.68421052631578</c:v>
                </c:pt>
                <c:pt idx="8" formatCode="0.0">
                  <c:v>115.38461538461537</c:v>
                </c:pt>
                <c:pt idx="9" formatCode="0.0">
                  <c:v>71.428571428571431</c:v>
                </c:pt>
                <c:pt idx="10" formatCode="0.0">
                  <c:v>50</c:v>
                </c:pt>
                <c:pt idx="11" formatCode="0.0">
                  <c:v>102.56410256410255</c:v>
                </c:pt>
                <c:pt idx="12" formatCode="0.0">
                  <c:v>142.10526315789474</c:v>
                </c:pt>
                <c:pt idx="13" formatCode="0.0">
                  <c:v>66.666666666666657</c:v>
                </c:pt>
                <c:pt idx="14" formatCode="0.0">
                  <c:v>162.5</c:v>
                </c:pt>
                <c:pt idx="15" formatCode="0.0">
                  <c:v>55.555555555555557</c:v>
                </c:pt>
                <c:pt idx="16" formatCode="0.0">
                  <c:v>107.31707317073172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76134016"/>
        <c:axId val="876135104"/>
      </c:barChart>
      <c:catAx>
        <c:axId val="8761340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76135104"/>
        <c:crossesAt val="100"/>
        <c:auto val="1"/>
        <c:lblAlgn val="ctr"/>
        <c:lblOffset val="100"/>
        <c:noMultiLvlLbl val="0"/>
      </c:catAx>
      <c:valAx>
        <c:axId val="876135104"/>
        <c:scaling>
          <c:orientation val="minMax"/>
          <c:min val="4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76134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WYKRESY!$F$2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WYKRESY!$A$3:$A$19</c:f>
              <c:strCache>
                <c:ptCount val="17"/>
                <c:pt idx="0">
                  <c:v>Ogółem</c:v>
                </c:pt>
                <c:pt idx="1">
                  <c:v>w tym:</c:v>
                </c:pt>
                <c:pt idx="2">
                  <c:v>Rolnictwo, leśnictwo, łowiectwo i rybactwo</c:v>
                </c:pt>
                <c:pt idx="3">
                  <c:v>Przetwórstwo przemysłowe</c:v>
                </c:pt>
                <c:pt idx="4">
                  <c:v>Budownictwo</c:v>
                </c:pt>
                <c:pt idx="5">
                  <c:v> Handel; naprawa  pojazdów samochodowych</c:v>
                </c:pt>
                <c:pt idx="6">
                  <c:v>Transport, gospodarka magazynowa</c:v>
                </c:pt>
                <c:pt idx="7">
                  <c:v>Zakwaterowanie i gastronomia</c:v>
                </c:pt>
                <c:pt idx="8">
                  <c:v>Informacja i komunikacja</c:v>
                </c:pt>
                <c:pt idx="9">
                  <c:v>Działalność finansowa i ubezpieczeniowa</c:v>
                </c:pt>
                <c:pt idx="10">
                  <c:v>Obsługa rynku nieruchomości</c:v>
                </c:pt>
                <c:pt idx="11">
                  <c:v>Działalność profesjonalna, naukowa i techniczna</c:v>
                </c:pt>
                <c:pt idx="12">
                  <c:v>Administrowanie i działalność wspierająca</c:v>
                </c:pt>
                <c:pt idx="13">
                  <c:v>Edukacja</c:v>
                </c:pt>
                <c:pt idx="14">
                  <c:v>Opieka zdrowotna i pomoc społeczna</c:v>
                </c:pt>
                <c:pt idx="15">
                  <c:v>Działalność związana z kulturą, rozrywką i rekreacją</c:v>
                </c:pt>
                <c:pt idx="16">
                  <c:v>Pozostała działalność usługowa</c:v>
                </c:pt>
              </c:strCache>
            </c:strRef>
          </c:cat>
          <c:val>
            <c:numRef>
              <c:f>WYKRESY!$F$3:$F$19</c:f>
              <c:numCache>
                <c:formatCode>General</c:formatCode>
                <c:ptCount val="17"/>
                <c:pt idx="0" formatCode="0.0">
                  <c:v>103.86854703066373</c:v>
                </c:pt>
                <c:pt idx="2" formatCode="0.0">
                  <c:v>98.651283717907063</c:v>
                </c:pt>
                <c:pt idx="3" formatCode="0.0">
                  <c:v>102.17341218032409</c:v>
                </c:pt>
                <c:pt idx="4" formatCode="0.0">
                  <c:v>101.36497664299678</c:v>
                </c:pt>
                <c:pt idx="5" formatCode="0.0">
                  <c:v>102.46859069562075</c:v>
                </c:pt>
                <c:pt idx="6" formatCode="0.0">
                  <c:v>106.32792834982145</c:v>
                </c:pt>
                <c:pt idx="7" formatCode="0.0">
                  <c:v>105.1364837100088</c:v>
                </c:pt>
                <c:pt idx="8" formatCode="0.0">
                  <c:v>102.69264662684814</c:v>
                </c:pt>
                <c:pt idx="9" formatCode="0.0">
                  <c:v>102.13661112027719</c:v>
                </c:pt>
                <c:pt idx="10" formatCode="0.0">
                  <c:v>104.33768656716418</c:v>
                </c:pt>
                <c:pt idx="11" formatCode="0.0">
                  <c:v>102.99053063446692</c:v>
                </c:pt>
                <c:pt idx="12" formatCode="0.0">
                  <c:v>103.29169860666457</c:v>
                </c:pt>
                <c:pt idx="13" formatCode="0.0">
                  <c:v>114.59995836513774</c:v>
                </c:pt>
                <c:pt idx="14" formatCode="0.0">
                  <c:v>109.43523316062176</c:v>
                </c:pt>
                <c:pt idx="15" formatCode="0.0">
                  <c:v>111.95144724556489</c:v>
                </c:pt>
                <c:pt idx="16" formatCode="0.0">
                  <c:v>110.67977817163113</c:v>
                </c:pt>
              </c:numCache>
            </c:numRef>
          </c:val>
        </c:ser>
        <c:ser>
          <c:idx val="1"/>
          <c:order val="1"/>
          <c:tx>
            <c:strRef>
              <c:f>WYKRESY!$G$2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CFAFE7"/>
            </a:solidFill>
            <a:ln>
              <a:noFill/>
            </a:ln>
            <a:effectLst/>
          </c:spPr>
          <c:invertIfNegative val="0"/>
          <c:cat>
            <c:strRef>
              <c:f>WYKRESY!$A$3:$A$19</c:f>
              <c:strCache>
                <c:ptCount val="17"/>
                <c:pt idx="0">
                  <c:v>Ogółem</c:v>
                </c:pt>
                <c:pt idx="1">
                  <c:v>w tym:</c:v>
                </c:pt>
                <c:pt idx="2">
                  <c:v>Rolnictwo, leśnictwo, łowiectwo i rybactwo</c:v>
                </c:pt>
                <c:pt idx="3">
                  <c:v>Przetwórstwo przemysłowe</c:v>
                </c:pt>
                <c:pt idx="4">
                  <c:v>Budownictwo</c:v>
                </c:pt>
                <c:pt idx="5">
                  <c:v> Handel; naprawa  pojazdów samochodowych</c:v>
                </c:pt>
                <c:pt idx="6">
                  <c:v>Transport, gospodarka magazynowa</c:v>
                </c:pt>
                <c:pt idx="7">
                  <c:v>Zakwaterowanie i gastronomia</c:v>
                </c:pt>
                <c:pt idx="8">
                  <c:v>Informacja i komunikacja</c:v>
                </c:pt>
                <c:pt idx="9">
                  <c:v>Działalność finansowa i ubezpieczeniowa</c:v>
                </c:pt>
                <c:pt idx="10">
                  <c:v>Obsługa rynku nieruchomości</c:v>
                </c:pt>
                <c:pt idx="11">
                  <c:v>Działalność profesjonalna, naukowa i techniczna</c:v>
                </c:pt>
                <c:pt idx="12">
                  <c:v>Administrowanie i działalność wspierająca</c:v>
                </c:pt>
                <c:pt idx="13">
                  <c:v>Edukacja</c:v>
                </c:pt>
                <c:pt idx="14">
                  <c:v>Opieka zdrowotna i pomoc społeczna</c:v>
                </c:pt>
                <c:pt idx="15">
                  <c:v>Działalność związana z kulturą, rozrywką i rekreacją</c:v>
                </c:pt>
                <c:pt idx="16">
                  <c:v>Pozostała działalność usługowa</c:v>
                </c:pt>
              </c:strCache>
            </c:strRef>
          </c:cat>
          <c:val>
            <c:numRef>
              <c:f>WYKRESY!$G$3:$G$19</c:f>
              <c:numCache>
                <c:formatCode>General</c:formatCode>
                <c:ptCount val="17"/>
                <c:pt idx="0" formatCode="0.0">
                  <c:v>103.47236385886191</c:v>
                </c:pt>
                <c:pt idx="2" formatCode="0.0">
                  <c:v>96.059113300492612</c:v>
                </c:pt>
                <c:pt idx="3" formatCode="0.0">
                  <c:v>100.33860045146727</c:v>
                </c:pt>
                <c:pt idx="4" formatCode="0.0">
                  <c:v>101.34687568999779</c:v>
                </c:pt>
                <c:pt idx="5" formatCode="0.0">
                  <c:v>103.40672074159907</c:v>
                </c:pt>
                <c:pt idx="6" formatCode="0.0">
                  <c:v>103.91134289439374</c:v>
                </c:pt>
                <c:pt idx="7" formatCode="0.0">
                  <c:v>104.21686746987953</c:v>
                </c:pt>
                <c:pt idx="8" formatCode="0.0">
                  <c:v>102.28658536585367</c:v>
                </c:pt>
                <c:pt idx="9" formatCode="0.0">
                  <c:v>100.97087378640776</c:v>
                </c:pt>
                <c:pt idx="10" formatCode="0.0">
                  <c:v>104.49438202247192</c:v>
                </c:pt>
                <c:pt idx="11" formatCode="0.0">
                  <c:v>102.633118782914</c:v>
                </c:pt>
                <c:pt idx="12" formatCode="0.0">
                  <c:v>102.32558139534885</c:v>
                </c:pt>
                <c:pt idx="13" formatCode="0.0">
                  <c:v>115.00974658869396</c:v>
                </c:pt>
                <c:pt idx="14" formatCode="0.0">
                  <c:v>112.99999999999999</c:v>
                </c:pt>
                <c:pt idx="15" formatCode="0.0">
                  <c:v>113.87096774193549</c:v>
                </c:pt>
                <c:pt idx="16" formatCode="0.0">
                  <c:v>107.44985673352436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76136192"/>
        <c:axId val="876123680"/>
      </c:barChart>
      <c:catAx>
        <c:axId val="8761361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76123680"/>
        <c:crossesAt val="100"/>
        <c:auto val="1"/>
        <c:lblAlgn val="ctr"/>
        <c:lblOffset val="100"/>
        <c:noMultiLvlLbl val="0"/>
      </c:catAx>
      <c:valAx>
        <c:axId val="87612368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76136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799825021872264"/>
          <c:y val="1.5852298545371304E-2"/>
          <c:w val="0.68244619422572184"/>
          <c:h val="0.923762501852334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Arkusz1!$D$5</c:f>
              <c:strCache>
                <c:ptCount val="1"/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/>
            </c:spPr>
          </c:dPt>
          <c:cat>
            <c:strRef>
              <c:f>Arkusz1!$A$6:$A$22</c:f>
              <c:strCache>
                <c:ptCount val="17"/>
                <c:pt idx="0">
                  <c:v>Polska</c:v>
                </c:pt>
                <c:pt idx="1">
                  <c:v>Dolnośląskie</c:v>
                </c:pt>
                <c:pt idx="2">
                  <c:v>Kujawsko-pomorskie</c:v>
                </c:pt>
                <c:pt idx="3">
                  <c:v>Lubelskie</c:v>
                </c:pt>
                <c:pt idx="4">
                  <c:v>Lubuskie</c:v>
                </c:pt>
                <c:pt idx="5">
                  <c:v>Łódzkie</c:v>
                </c:pt>
                <c:pt idx="6">
                  <c:v>Małopolskie</c:v>
                </c:pt>
                <c:pt idx="7">
                  <c:v>Mazowieckie</c:v>
                </c:pt>
                <c:pt idx="8">
                  <c:v>Opolskie</c:v>
                </c:pt>
                <c:pt idx="9">
                  <c:v>Podkarpackie</c:v>
                </c:pt>
                <c:pt idx="10">
                  <c:v>Podlaskie</c:v>
                </c:pt>
                <c:pt idx="11">
                  <c:v>Pomorskie</c:v>
                </c:pt>
                <c:pt idx="12">
                  <c:v>Śląskie</c:v>
                </c:pt>
                <c:pt idx="13">
                  <c:v>Świętokrzyskie</c:v>
                </c:pt>
                <c:pt idx="14">
                  <c:v>Warmińsko-mazurskie</c:v>
                </c:pt>
                <c:pt idx="15">
                  <c:v>Wielkopolskie</c:v>
                </c:pt>
                <c:pt idx="16">
                  <c:v>Zachodniopomorskie</c:v>
                </c:pt>
              </c:strCache>
            </c:strRef>
          </c:cat>
          <c:val>
            <c:numRef>
              <c:f>Arkusz1!$D$6:$D$22</c:f>
              <c:numCache>
                <c:formatCode>General</c:formatCode>
                <c:ptCount val="17"/>
                <c:pt idx="0">
                  <c:v>106.8</c:v>
                </c:pt>
                <c:pt idx="1">
                  <c:v>62.8</c:v>
                </c:pt>
                <c:pt idx="2">
                  <c:v>93</c:v>
                </c:pt>
                <c:pt idx="3">
                  <c:v>72</c:v>
                </c:pt>
                <c:pt idx="4">
                  <c:v>74.099999999999994</c:v>
                </c:pt>
                <c:pt idx="5">
                  <c:v>114.6</c:v>
                </c:pt>
                <c:pt idx="6">
                  <c:v>73.5</c:v>
                </c:pt>
                <c:pt idx="7">
                  <c:v>107</c:v>
                </c:pt>
                <c:pt idx="8">
                  <c:v>85.5</c:v>
                </c:pt>
                <c:pt idx="9">
                  <c:v>57.6</c:v>
                </c:pt>
                <c:pt idx="10">
                  <c:v>91.6</c:v>
                </c:pt>
                <c:pt idx="11">
                  <c:v>134.5</c:v>
                </c:pt>
                <c:pt idx="12">
                  <c:v>182.9</c:v>
                </c:pt>
                <c:pt idx="13">
                  <c:v>121.6</c:v>
                </c:pt>
                <c:pt idx="14">
                  <c:v>161.30000000000001</c:v>
                </c:pt>
                <c:pt idx="15">
                  <c:v>150.4</c:v>
                </c:pt>
                <c:pt idx="16">
                  <c:v>236.2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76121504"/>
        <c:axId val="876125312"/>
      </c:barChart>
      <c:catAx>
        <c:axId val="8761215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76125312"/>
        <c:crossesAt val="100"/>
        <c:auto val="1"/>
        <c:lblAlgn val="ctr"/>
        <c:lblOffset val="100"/>
        <c:noMultiLvlLbl val="0"/>
      </c:catAx>
      <c:valAx>
        <c:axId val="87612531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76121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76159667806115"/>
          <c:y val="1.3278921860745833E-2"/>
          <c:w val="0.68289916569310116"/>
          <c:h val="0.9262008454648855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Arkusz1!$B$5</c:f>
              <c:strCache>
                <c:ptCount val="1"/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/>
            </c:spPr>
          </c:dPt>
          <c:cat>
            <c:strRef>
              <c:f>Arkusz1!$A$6:$A$22</c:f>
              <c:strCache>
                <c:ptCount val="17"/>
                <c:pt idx="0">
                  <c:v>Polska</c:v>
                </c:pt>
                <c:pt idx="1">
                  <c:v>Dolnośląskie</c:v>
                </c:pt>
                <c:pt idx="2">
                  <c:v>Kujawsko-pomorskie</c:v>
                </c:pt>
                <c:pt idx="3">
                  <c:v>Lubelskie</c:v>
                </c:pt>
                <c:pt idx="4">
                  <c:v>Lubuskie</c:v>
                </c:pt>
                <c:pt idx="5">
                  <c:v>Łódzkie</c:v>
                </c:pt>
                <c:pt idx="6">
                  <c:v>Małopolskie</c:v>
                </c:pt>
                <c:pt idx="7">
                  <c:v>Mazowieckie</c:v>
                </c:pt>
                <c:pt idx="8">
                  <c:v>Opolskie</c:v>
                </c:pt>
                <c:pt idx="9">
                  <c:v>Podkarpackie</c:v>
                </c:pt>
                <c:pt idx="10">
                  <c:v>Podlaskie</c:v>
                </c:pt>
                <c:pt idx="11">
                  <c:v>Pomorskie</c:v>
                </c:pt>
                <c:pt idx="12">
                  <c:v>Śląskie</c:v>
                </c:pt>
                <c:pt idx="13">
                  <c:v>Świętokrzyskie</c:v>
                </c:pt>
                <c:pt idx="14">
                  <c:v>Warmińsko-mazurskie</c:v>
                </c:pt>
                <c:pt idx="15">
                  <c:v>Wielkopolskie</c:v>
                </c:pt>
                <c:pt idx="16">
                  <c:v>Zachodniopomorskie</c:v>
                </c:pt>
              </c:strCache>
            </c:strRef>
          </c:cat>
          <c:val>
            <c:numRef>
              <c:f>Arkusz1!$B$6:$B$22</c:f>
              <c:numCache>
                <c:formatCode>General</c:formatCode>
                <c:ptCount val="17"/>
                <c:pt idx="0">
                  <c:v>110.5</c:v>
                </c:pt>
                <c:pt idx="1">
                  <c:v>116.7</c:v>
                </c:pt>
                <c:pt idx="2">
                  <c:v>127.9</c:v>
                </c:pt>
                <c:pt idx="3">
                  <c:v>107.5</c:v>
                </c:pt>
                <c:pt idx="4">
                  <c:v>154.1</c:v>
                </c:pt>
                <c:pt idx="5">
                  <c:v>79.3</c:v>
                </c:pt>
                <c:pt idx="6">
                  <c:v>89.5</c:v>
                </c:pt>
                <c:pt idx="7">
                  <c:v>104.3</c:v>
                </c:pt>
                <c:pt idx="8">
                  <c:v>74.400000000000006</c:v>
                </c:pt>
                <c:pt idx="9">
                  <c:v>142</c:v>
                </c:pt>
                <c:pt idx="10">
                  <c:v>173.1</c:v>
                </c:pt>
                <c:pt idx="11">
                  <c:v>81.2</c:v>
                </c:pt>
                <c:pt idx="12">
                  <c:v>135.19999999999999</c:v>
                </c:pt>
                <c:pt idx="13">
                  <c:v>93</c:v>
                </c:pt>
                <c:pt idx="14">
                  <c:v>140.4</c:v>
                </c:pt>
                <c:pt idx="15">
                  <c:v>117.4</c:v>
                </c:pt>
                <c:pt idx="16">
                  <c:v>116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90199792"/>
        <c:axId val="990200336"/>
      </c:barChart>
      <c:catAx>
        <c:axId val="9901997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90200336"/>
        <c:crossesAt val="100"/>
        <c:auto val="1"/>
        <c:lblAlgn val="ctr"/>
        <c:lblOffset val="100"/>
        <c:noMultiLvlLbl val="0"/>
      </c:catAx>
      <c:valAx>
        <c:axId val="99020033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90199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761590833044302"/>
          <c:y val="1.8513130952598805E-2"/>
          <c:w val="0.68289923495129001"/>
          <c:h val="0.920912458876785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Arkusz1!$C$5</c:f>
              <c:strCache>
                <c:ptCount val="1"/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/>
            </c:spPr>
          </c:dPt>
          <c:cat>
            <c:strRef>
              <c:f>Arkusz1!$A$6:$A$22</c:f>
              <c:strCache>
                <c:ptCount val="17"/>
                <c:pt idx="0">
                  <c:v>Polska</c:v>
                </c:pt>
                <c:pt idx="1">
                  <c:v>Dolnośląskie</c:v>
                </c:pt>
                <c:pt idx="2">
                  <c:v>Kujawsko-pomorskie</c:v>
                </c:pt>
                <c:pt idx="3">
                  <c:v>Lubelskie</c:v>
                </c:pt>
                <c:pt idx="4">
                  <c:v>Lubuskie</c:v>
                </c:pt>
                <c:pt idx="5">
                  <c:v>Łódzkie</c:v>
                </c:pt>
                <c:pt idx="6">
                  <c:v>Małopolskie</c:v>
                </c:pt>
                <c:pt idx="7">
                  <c:v>Mazowieckie</c:v>
                </c:pt>
                <c:pt idx="8">
                  <c:v>Opolskie</c:v>
                </c:pt>
                <c:pt idx="9">
                  <c:v>Podkarpackie</c:v>
                </c:pt>
                <c:pt idx="10">
                  <c:v>Podlaskie</c:v>
                </c:pt>
                <c:pt idx="11">
                  <c:v>Pomorskie</c:v>
                </c:pt>
                <c:pt idx="12">
                  <c:v>Śląskie</c:v>
                </c:pt>
                <c:pt idx="13">
                  <c:v>Świętokrzyskie</c:v>
                </c:pt>
                <c:pt idx="14">
                  <c:v>Warmińsko-mazurskie</c:v>
                </c:pt>
                <c:pt idx="15">
                  <c:v>Wielkopolskie</c:v>
                </c:pt>
                <c:pt idx="16">
                  <c:v>Zachodniopomorskie</c:v>
                </c:pt>
              </c:strCache>
            </c:strRef>
          </c:cat>
          <c:val>
            <c:numRef>
              <c:f>Arkusz1!$C$6:$C$22</c:f>
              <c:numCache>
                <c:formatCode>General</c:formatCode>
                <c:ptCount val="17"/>
                <c:pt idx="0">
                  <c:v>79.099999999999994</c:v>
                </c:pt>
                <c:pt idx="1">
                  <c:v>57.5</c:v>
                </c:pt>
                <c:pt idx="2">
                  <c:v>110.8</c:v>
                </c:pt>
                <c:pt idx="3">
                  <c:v>81.5</c:v>
                </c:pt>
                <c:pt idx="4">
                  <c:v>44.1</c:v>
                </c:pt>
                <c:pt idx="5">
                  <c:v>142</c:v>
                </c:pt>
                <c:pt idx="6">
                  <c:v>76.099999999999994</c:v>
                </c:pt>
                <c:pt idx="7">
                  <c:v>82.3</c:v>
                </c:pt>
                <c:pt idx="8">
                  <c:v>69.900000000000006</c:v>
                </c:pt>
                <c:pt idx="9">
                  <c:v>108.9</c:v>
                </c:pt>
                <c:pt idx="10">
                  <c:v>94.6</c:v>
                </c:pt>
                <c:pt idx="11">
                  <c:v>45.5</c:v>
                </c:pt>
                <c:pt idx="12">
                  <c:v>57.3</c:v>
                </c:pt>
                <c:pt idx="13">
                  <c:v>73.400000000000006</c:v>
                </c:pt>
                <c:pt idx="14">
                  <c:v>47.3</c:v>
                </c:pt>
                <c:pt idx="15">
                  <c:v>85.2</c:v>
                </c:pt>
                <c:pt idx="16">
                  <c:v>201.1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90193808"/>
        <c:axId val="990195440"/>
      </c:barChart>
      <c:catAx>
        <c:axId val="9901938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90195440"/>
        <c:crossesAt val="100"/>
        <c:auto val="1"/>
        <c:lblAlgn val="ctr"/>
        <c:lblOffset val="100"/>
        <c:noMultiLvlLbl val="0"/>
      </c:catAx>
      <c:valAx>
        <c:axId val="99019544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90193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'Podkarpackie PL i Zag'!$A$5</c:f>
              <c:strCache>
                <c:ptCount val="1"/>
                <c:pt idx="0">
                  <c:v>Polacy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'Podkarpackie PL i Zag'!$B$4:$F$4</c:f>
              <c:strCache>
                <c:ptCount val="5"/>
                <c:pt idx="0">
                  <c:v>marzec 2016</c:v>
                </c:pt>
                <c:pt idx="1">
                  <c:v>marzec 2017</c:v>
                </c:pt>
                <c:pt idx="2">
                  <c:v>marzec 2018</c:v>
                </c:pt>
                <c:pt idx="3">
                  <c:v>marzec 2019</c:v>
                </c:pt>
                <c:pt idx="4">
                  <c:v>marzec 2020</c:v>
                </c:pt>
              </c:strCache>
            </c:strRef>
          </c:cat>
          <c:val>
            <c:numRef>
              <c:f>'Podkarpackie PL i Zag'!$B$5:$F$5</c:f>
              <c:numCache>
                <c:formatCode>0.0</c:formatCode>
                <c:ptCount val="5"/>
                <c:pt idx="0">
                  <c:v>52.515000000000001</c:v>
                </c:pt>
                <c:pt idx="1">
                  <c:v>62.811</c:v>
                </c:pt>
                <c:pt idx="2">
                  <c:v>60.999000000000002</c:v>
                </c:pt>
                <c:pt idx="3">
                  <c:v>70.171000000000006</c:v>
                </c:pt>
                <c:pt idx="4">
                  <c:v>32.514188570576998</c:v>
                </c:pt>
              </c:numCache>
            </c:numRef>
          </c:val>
        </c:ser>
        <c:ser>
          <c:idx val="1"/>
          <c:order val="1"/>
          <c:tx>
            <c:strRef>
              <c:f>'Podkarpackie PL i Zag'!$A$6</c:f>
              <c:strCache>
                <c:ptCount val="1"/>
                <c:pt idx="0">
                  <c:v>Cudzoziemcy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'Podkarpackie PL i Zag'!$B$4:$F$4</c:f>
              <c:strCache>
                <c:ptCount val="5"/>
                <c:pt idx="0">
                  <c:v>marzec 2016</c:v>
                </c:pt>
                <c:pt idx="1">
                  <c:v>marzec 2017</c:v>
                </c:pt>
                <c:pt idx="2">
                  <c:v>marzec 2018</c:v>
                </c:pt>
                <c:pt idx="3">
                  <c:v>marzec 2019</c:v>
                </c:pt>
                <c:pt idx="4">
                  <c:v>marzec 2020</c:v>
                </c:pt>
              </c:strCache>
            </c:strRef>
          </c:cat>
          <c:val>
            <c:numRef>
              <c:f>'Podkarpackie PL i Zag'!$B$6:$F$6</c:f>
              <c:numCache>
                <c:formatCode>0.0</c:formatCode>
                <c:ptCount val="5"/>
                <c:pt idx="0">
                  <c:v>10.254</c:v>
                </c:pt>
                <c:pt idx="1">
                  <c:v>13.32</c:v>
                </c:pt>
                <c:pt idx="2">
                  <c:v>12.417999999999999</c:v>
                </c:pt>
                <c:pt idx="3">
                  <c:v>11.715999999999999</c:v>
                </c:pt>
                <c:pt idx="4" formatCode="General">
                  <c:v>4.2046883343140493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90201968"/>
        <c:axId val="990200880"/>
      </c:barChart>
      <c:catAx>
        <c:axId val="99020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90200880"/>
        <c:crosses val="autoZero"/>
        <c:auto val="1"/>
        <c:lblAlgn val="ctr"/>
        <c:lblOffset val="100"/>
        <c:noMultiLvlLbl val="0"/>
      </c:catAx>
      <c:valAx>
        <c:axId val="990200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90201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079091625425869E-2"/>
          <c:y val="4.656084656084656E-2"/>
          <c:w val="0.87224344257183839"/>
          <c:h val="0.573736949547973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'[Wykres w programie Microsoft Word]Województwa'!$B$3</c:f>
              <c:strCache>
                <c:ptCount val="1"/>
                <c:pt idx="0">
                  <c:v>marzec 2019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'[Wykres w programie Microsoft Word]Województwa'!$A$4:$A$19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'[Wykres w programie Microsoft Word]Województwa'!$B$4:$B$19</c:f>
              <c:numCache>
                <c:formatCode>0.0</c:formatCode>
                <c:ptCount val="16"/>
                <c:pt idx="0">
                  <c:v>274.12400000000002</c:v>
                </c:pt>
                <c:pt idx="1">
                  <c:v>92.480999999999995</c:v>
                </c:pt>
                <c:pt idx="2">
                  <c:v>73.570999999999998</c:v>
                </c:pt>
                <c:pt idx="3">
                  <c:v>42.179000000000002</c:v>
                </c:pt>
                <c:pt idx="4">
                  <c:v>117.745</c:v>
                </c:pt>
                <c:pt idx="5">
                  <c:v>381.52699999999999</c:v>
                </c:pt>
                <c:pt idx="6">
                  <c:v>426.10899999999998</c:v>
                </c:pt>
                <c:pt idx="7">
                  <c:v>32.564999999999998</c:v>
                </c:pt>
                <c:pt idx="8">
                  <c:v>81.887</c:v>
                </c:pt>
                <c:pt idx="9">
                  <c:v>39.08</c:v>
                </c:pt>
                <c:pt idx="10">
                  <c:v>174.4</c:v>
                </c:pt>
                <c:pt idx="11">
                  <c:v>200.761</c:v>
                </c:pt>
                <c:pt idx="12">
                  <c:v>50.887999999999998</c:v>
                </c:pt>
                <c:pt idx="13">
                  <c:v>68.319999999999993</c:v>
                </c:pt>
                <c:pt idx="14">
                  <c:v>156.38</c:v>
                </c:pt>
                <c:pt idx="15">
                  <c:v>189.88200000000001</c:v>
                </c:pt>
              </c:numCache>
            </c:numRef>
          </c:val>
        </c:ser>
        <c:ser>
          <c:idx val="1"/>
          <c:order val="1"/>
          <c:tx>
            <c:strRef>
              <c:f>'[Wykres w programie Microsoft Word]Województwa'!$C$3</c:f>
              <c:strCache>
                <c:ptCount val="1"/>
                <c:pt idx="0">
                  <c:v>marzec 2020</c:v>
                </c:pt>
              </c:strCache>
            </c:strRef>
          </c:tx>
          <c:spPr>
            <a:solidFill>
              <a:srgbClr val="E7E6E6">
                <a:lumMod val="75000"/>
              </a:srgbClr>
            </a:solidFill>
            <a:ln>
              <a:noFill/>
            </a:ln>
            <a:effectLst/>
          </c:spPr>
          <c:invertIfNegative val="0"/>
          <c:cat>
            <c:strRef>
              <c:f>'[Wykres w programie Microsoft Word]Województwa'!$A$4:$A$19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'[Wykres w programie Microsoft Word]Województwa'!$C$4:$C$19</c:f>
              <c:numCache>
                <c:formatCode>0.0</c:formatCode>
                <c:ptCount val="16"/>
                <c:pt idx="0">
                  <c:v>108.47590022847382</c:v>
                </c:pt>
                <c:pt idx="1">
                  <c:v>38.719539900374684</c:v>
                </c:pt>
                <c:pt idx="2">
                  <c:v>26.754457437798045</c:v>
                </c:pt>
                <c:pt idx="3">
                  <c:v>17.09129018587819</c:v>
                </c:pt>
                <c:pt idx="4">
                  <c:v>43.502071542751246</c:v>
                </c:pt>
                <c:pt idx="5">
                  <c:v>140.4177920350252</c:v>
                </c:pt>
                <c:pt idx="6">
                  <c:v>152.87773883724986</c:v>
                </c:pt>
                <c:pt idx="7">
                  <c:v>13.843215901802129</c:v>
                </c:pt>
                <c:pt idx="8">
                  <c:v>36.718876904891047</c:v>
                </c:pt>
                <c:pt idx="9">
                  <c:v>14.892175708980362</c:v>
                </c:pt>
                <c:pt idx="10">
                  <c:v>73.379054206887886</c:v>
                </c:pt>
                <c:pt idx="11">
                  <c:v>85.79905136082705</c:v>
                </c:pt>
                <c:pt idx="12">
                  <c:v>18.986790792140386</c:v>
                </c:pt>
                <c:pt idx="13">
                  <c:v>24.286754656952798</c:v>
                </c:pt>
                <c:pt idx="14">
                  <c:v>60.429828924024235</c:v>
                </c:pt>
                <c:pt idx="15">
                  <c:v>81.441116493264701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90202512"/>
        <c:axId val="990188368"/>
      </c:barChart>
      <c:catAx>
        <c:axId val="99020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90188368"/>
        <c:crosses val="autoZero"/>
        <c:auto val="1"/>
        <c:lblAlgn val="ctr"/>
        <c:lblOffset val="100"/>
        <c:noMultiLvlLbl val="0"/>
      </c:catAx>
      <c:valAx>
        <c:axId val="990188368"/>
        <c:scaling>
          <c:orientation val="minMax"/>
          <c:max val="4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90202512"/>
        <c:crosses val="autoZero"/>
        <c:crossBetween val="between"/>
        <c:majorUnit val="50"/>
        <c:min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025371828521435E-2"/>
          <c:y val="0.12962962962962962"/>
          <c:w val="0.88341907261592301"/>
          <c:h val="0.657067658209390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'wydatki ogółem podkarpacie'!$B$4</c:f>
              <c:strCache>
                <c:ptCount val="1"/>
                <c:pt idx="0">
                  <c:v>I 2019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'wydatki ogółem podkarpacie'!$A$5:$A$6</c:f>
              <c:strCache>
                <c:ptCount val="2"/>
                <c:pt idx="0">
                  <c:v>Polacy</c:v>
                </c:pt>
                <c:pt idx="1">
                  <c:v>Cudzoziemcy</c:v>
                </c:pt>
              </c:strCache>
            </c:strRef>
          </c:cat>
          <c:val>
            <c:numRef>
              <c:f>'wydatki ogółem podkarpacie'!$B$5:$B$6</c:f>
              <c:numCache>
                <c:formatCode>#,##0</c:formatCode>
                <c:ptCount val="2"/>
                <c:pt idx="0">
                  <c:v>385.69077913586398</c:v>
                </c:pt>
                <c:pt idx="1">
                  <c:v>342.22058082896302</c:v>
                </c:pt>
              </c:numCache>
            </c:numRef>
          </c:val>
        </c:ser>
        <c:ser>
          <c:idx val="1"/>
          <c:order val="1"/>
          <c:tx>
            <c:strRef>
              <c:f>'wydatki ogółem podkarpacie'!$C$4</c:f>
              <c:strCache>
                <c:ptCount val="1"/>
                <c:pt idx="0">
                  <c:v>I 2020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  <a:ln>
              <a:noFill/>
            </a:ln>
            <a:effectLst/>
          </c:spPr>
          <c:invertIfNegative val="0"/>
          <c:cat>
            <c:strRef>
              <c:f>'wydatki ogółem podkarpacie'!$A$5:$A$6</c:f>
              <c:strCache>
                <c:ptCount val="2"/>
                <c:pt idx="0">
                  <c:v>Polacy</c:v>
                </c:pt>
                <c:pt idx="1">
                  <c:v>Cudzoziemcy</c:v>
                </c:pt>
              </c:strCache>
            </c:strRef>
          </c:cat>
          <c:val>
            <c:numRef>
              <c:f>'wydatki ogółem podkarpacie'!$C$5:$C$6</c:f>
              <c:numCache>
                <c:formatCode>#,##0</c:formatCode>
                <c:ptCount val="2"/>
                <c:pt idx="0">
                  <c:v>344.18574224241002</c:v>
                </c:pt>
                <c:pt idx="1">
                  <c:v>268.965745473928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90188912"/>
        <c:axId val="990201424"/>
      </c:barChart>
      <c:catAx>
        <c:axId val="990188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90201424"/>
        <c:crosses val="autoZero"/>
        <c:auto val="1"/>
        <c:lblAlgn val="ctr"/>
        <c:lblOffset val="100"/>
        <c:noMultiLvlLbl val="0"/>
      </c:catAx>
      <c:valAx>
        <c:axId val="990201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90188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0.01042</cdr:y>
    </cdr:from>
    <cdr:to>
      <cdr:x>0.12292</cdr:x>
      <cdr:y>0.11111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28575"/>
          <a:ext cx="561975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1000">
              <a:latin typeface="Fira Sans" panose="020B0503050000020004" pitchFamily="34" charset="0"/>
              <a:ea typeface="Fira Sans" panose="020B0503050000020004" pitchFamily="34" charset="0"/>
            </a:rPr>
            <a:t>mln zł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E59B9-9D94-4384-88D4-BF3E9FFA7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9</Pages>
  <Words>2356</Words>
  <Characters>14140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Koprowicz Daniel</cp:lastModifiedBy>
  <cp:revision>93</cp:revision>
  <cp:lastPrinted>2020-02-28T07:35:00Z</cp:lastPrinted>
  <dcterms:created xsi:type="dcterms:W3CDTF">2020-04-20T08:07:00Z</dcterms:created>
  <dcterms:modified xsi:type="dcterms:W3CDTF">2020-04-21T13:02:00Z</dcterms:modified>
</cp:coreProperties>
</file>